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B2D" w:rsidRDefault="00FE1B2D" w:rsidP="00F22F2B">
      <w:pPr>
        <w:rPr>
          <w:lang w:val="en-GB" w:eastAsia="zh-TW"/>
        </w:rPr>
      </w:pPr>
      <w:bookmarkStart w:id="0" w:name="_GoBack"/>
      <w:bookmarkEnd w:id="0"/>
    </w:p>
    <w:p w:rsidR="00167A02" w:rsidRDefault="00167A02" w:rsidP="00F22F2B">
      <w:pPr>
        <w:rPr>
          <w:lang w:val="en-GB" w:eastAsia="zh-TW"/>
        </w:rPr>
      </w:pPr>
    </w:p>
    <w:p w:rsidR="00167A02" w:rsidRDefault="00167A02" w:rsidP="00F22F2B">
      <w:pPr>
        <w:rPr>
          <w:lang w:val="en-GB" w:eastAsia="zh-TW"/>
        </w:rPr>
      </w:pPr>
    </w:p>
    <w:p w:rsidR="00167A02" w:rsidRDefault="00167A02" w:rsidP="00167A02">
      <w:pPr>
        <w:pStyle w:val="Sheading1"/>
        <w:rPr>
          <w:lang w:eastAsia="zh-TW"/>
        </w:rPr>
      </w:pPr>
      <w:r>
        <w:rPr>
          <w:lang w:eastAsia="zh-TW"/>
        </w:rPr>
        <w:t>Mandatory participation requirements</w:t>
      </w:r>
    </w:p>
    <w:p w:rsidR="00167A02" w:rsidRDefault="00167A02" w:rsidP="00167A02">
      <w:pPr>
        <w:jc w:val="both"/>
        <w:rPr>
          <w:lang w:val="en-GB" w:eastAsia="zh-TW"/>
        </w:rPr>
      </w:pPr>
    </w:p>
    <w:tbl>
      <w:tblPr>
        <w:tblStyle w:val="TableGrid"/>
        <w:tblW w:w="13183" w:type="dxa"/>
        <w:tblInd w:w="250" w:type="dxa"/>
        <w:tblBorders>
          <w:left w:val="none" w:sz="0" w:space="0" w:color="auto"/>
          <w:right w:val="none" w:sz="0" w:space="0" w:color="auto"/>
          <w:insideH w:val="none" w:sz="0" w:space="0" w:color="auto"/>
        </w:tblBorders>
        <w:tblLook w:val="04A0" w:firstRow="1" w:lastRow="0" w:firstColumn="1" w:lastColumn="0" w:noHBand="0" w:noVBand="1"/>
      </w:tblPr>
      <w:tblGrid>
        <w:gridCol w:w="595"/>
        <w:gridCol w:w="5075"/>
        <w:gridCol w:w="7513"/>
      </w:tblGrid>
      <w:tr w:rsidR="00167A02" w:rsidRPr="00796EAD" w:rsidTr="00167A02">
        <w:tc>
          <w:tcPr>
            <w:tcW w:w="595" w:type="dxa"/>
            <w:tcBorders>
              <w:top w:val="single" w:sz="12" w:space="0" w:color="auto"/>
              <w:bottom w:val="single" w:sz="12" w:space="0" w:color="auto"/>
            </w:tcBorders>
            <w:shd w:val="clear" w:color="auto" w:fill="D9D9D9" w:themeFill="background1" w:themeFillShade="D9"/>
          </w:tcPr>
          <w:p w:rsidR="00167A02" w:rsidRPr="00796EAD" w:rsidRDefault="00167A02" w:rsidP="00AA0371">
            <w:pPr>
              <w:pStyle w:val="Stext1"/>
              <w:ind w:left="0"/>
              <w:jc w:val="center"/>
              <w:rPr>
                <w:b/>
                <w:lang w:eastAsia="en-US"/>
              </w:rPr>
            </w:pPr>
            <w:r w:rsidRPr="00796EAD">
              <w:rPr>
                <w:b/>
                <w:lang w:eastAsia="en-US"/>
              </w:rPr>
              <w:t>No.</w:t>
            </w:r>
          </w:p>
        </w:tc>
        <w:tc>
          <w:tcPr>
            <w:tcW w:w="5075" w:type="dxa"/>
            <w:tcBorders>
              <w:top w:val="single" w:sz="12" w:space="0" w:color="auto"/>
              <w:bottom w:val="single" w:sz="12" w:space="0" w:color="auto"/>
            </w:tcBorders>
            <w:shd w:val="clear" w:color="auto" w:fill="D9D9D9" w:themeFill="background1" w:themeFillShade="D9"/>
          </w:tcPr>
          <w:p w:rsidR="00167A02" w:rsidRPr="00796EAD" w:rsidRDefault="00167A02" w:rsidP="00AA0371">
            <w:pPr>
              <w:pStyle w:val="Stext1"/>
              <w:ind w:left="0"/>
              <w:jc w:val="center"/>
              <w:rPr>
                <w:b/>
                <w:lang w:eastAsia="en-US"/>
              </w:rPr>
            </w:pPr>
            <w:r w:rsidRPr="00796EAD">
              <w:rPr>
                <w:b/>
                <w:lang w:eastAsia="en-US"/>
              </w:rPr>
              <w:t xml:space="preserve">Requirement </w:t>
            </w:r>
          </w:p>
        </w:tc>
        <w:tc>
          <w:tcPr>
            <w:tcW w:w="7513" w:type="dxa"/>
            <w:tcBorders>
              <w:top w:val="single" w:sz="12" w:space="0" w:color="auto"/>
              <w:bottom w:val="single" w:sz="12" w:space="0" w:color="auto"/>
            </w:tcBorders>
            <w:shd w:val="clear" w:color="auto" w:fill="D9D9D9" w:themeFill="background1" w:themeFillShade="D9"/>
          </w:tcPr>
          <w:p w:rsidR="00167A02" w:rsidRPr="00796EAD" w:rsidRDefault="00167A02" w:rsidP="00AA0371">
            <w:pPr>
              <w:pStyle w:val="Stext1"/>
              <w:ind w:left="0"/>
              <w:jc w:val="center"/>
              <w:rPr>
                <w:b/>
                <w:lang w:eastAsia="en-US"/>
              </w:rPr>
            </w:pPr>
            <w:r>
              <w:rPr>
                <w:b/>
                <w:lang w:eastAsia="en-US"/>
              </w:rPr>
              <w:t>Proof</w:t>
            </w:r>
          </w:p>
        </w:tc>
      </w:tr>
      <w:tr w:rsidR="00167A02" w:rsidRPr="006E0496" w:rsidTr="00167A02">
        <w:tc>
          <w:tcPr>
            <w:tcW w:w="13183" w:type="dxa"/>
            <w:gridSpan w:val="3"/>
            <w:tcBorders>
              <w:top w:val="single" w:sz="12" w:space="0" w:color="auto"/>
              <w:bottom w:val="single" w:sz="4" w:space="0" w:color="auto"/>
            </w:tcBorders>
            <w:shd w:val="clear" w:color="auto" w:fill="F2F2F2" w:themeFill="background1" w:themeFillShade="F2"/>
          </w:tcPr>
          <w:p w:rsidR="00167A02" w:rsidRPr="006E0496" w:rsidRDefault="00167A02" w:rsidP="00AA0371">
            <w:pPr>
              <w:pStyle w:val="Stext1"/>
              <w:ind w:left="0"/>
              <w:rPr>
                <w:b/>
                <w:i/>
                <w:lang w:eastAsia="en-US"/>
              </w:rPr>
            </w:pPr>
            <w:r>
              <w:rPr>
                <w:b/>
                <w:i/>
                <w:lang w:eastAsia="en-US"/>
              </w:rPr>
              <w:t xml:space="preserve">Note for all </w:t>
            </w:r>
            <w:r w:rsidR="00BF2915">
              <w:rPr>
                <w:b/>
                <w:i/>
                <w:lang w:eastAsia="en-US"/>
              </w:rPr>
              <w:t>b</w:t>
            </w:r>
            <w:r>
              <w:rPr>
                <w:b/>
                <w:i/>
                <w:lang w:eastAsia="en-US"/>
              </w:rPr>
              <w:t xml:space="preserve">idders: </w:t>
            </w:r>
            <w:r>
              <w:rPr>
                <w:i/>
                <w:lang w:eastAsia="en-US"/>
              </w:rPr>
              <w:t>Listed proofs</w:t>
            </w:r>
            <w:r w:rsidRPr="006E0496">
              <w:rPr>
                <w:i/>
                <w:lang w:eastAsia="en-US"/>
              </w:rPr>
              <w:t xml:space="preserve"> </w:t>
            </w:r>
            <w:r>
              <w:rPr>
                <w:i/>
                <w:lang w:eastAsia="en-US"/>
              </w:rPr>
              <w:t>must</w:t>
            </w:r>
            <w:r w:rsidRPr="006E0496">
              <w:rPr>
                <w:i/>
                <w:lang w:eastAsia="en-US"/>
              </w:rPr>
              <w:t xml:space="preserve"> be </w:t>
            </w:r>
            <w:r>
              <w:rPr>
                <w:i/>
                <w:lang w:eastAsia="en-US"/>
              </w:rPr>
              <w:t>submitted</w:t>
            </w:r>
            <w:r w:rsidRPr="006E0496">
              <w:rPr>
                <w:i/>
                <w:lang w:eastAsia="en-US"/>
              </w:rPr>
              <w:t xml:space="preserve"> </w:t>
            </w:r>
            <w:r>
              <w:rPr>
                <w:i/>
                <w:lang w:eastAsia="en-US"/>
              </w:rPr>
              <w:t>in line with requirements further elaborated under Section 3 below.</w:t>
            </w:r>
          </w:p>
        </w:tc>
      </w:tr>
      <w:tr w:rsidR="00167A02" w:rsidRPr="006E0496" w:rsidTr="00167A02">
        <w:tc>
          <w:tcPr>
            <w:tcW w:w="13183" w:type="dxa"/>
            <w:gridSpan w:val="3"/>
            <w:tcBorders>
              <w:top w:val="single" w:sz="4" w:space="0" w:color="auto"/>
              <w:bottom w:val="single" w:sz="4" w:space="0" w:color="auto"/>
            </w:tcBorders>
            <w:shd w:val="clear" w:color="auto" w:fill="F2F2F2" w:themeFill="background1" w:themeFillShade="F2"/>
          </w:tcPr>
          <w:p w:rsidR="00167A02" w:rsidRDefault="00167A02" w:rsidP="00D751A2">
            <w:pPr>
              <w:pStyle w:val="Stext1"/>
              <w:ind w:left="0"/>
              <w:rPr>
                <w:b/>
                <w:i/>
                <w:lang w:eastAsia="en-US"/>
              </w:rPr>
            </w:pPr>
            <w:r>
              <w:rPr>
                <w:b/>
                <w:i/>
                <w:lang w:eastAsia="en-US"/>
              </w:rPr>
              <w:t xml:space="preserve">Note for </w:t>
            </w:r>
            <w:r w:rsidR="00D751A2">
              <w:rPr>
                <w:b/>
                <w:i/>
                <w:lang w:eastAsia="en-US"/>
              </w:rPr>
              <w:t>c</w:t>
            </w:r>
            <w:r>
              <w:rPr>
                <w:b/>
                <w:i/>
                <w:lang w:eastAsia="en-US"/>
              </w:rPr>
              <w:t xml:space="preserve">onsortiums: </w:t>
            </w:r>
            <w:r w:rsidRPr="006E0496">
              <w:rPr>
                <w:i/>
                <w:lang w:eastAsia="en-US"/>
              </w:rPr>
              <w:t xml:space="preserve">Proofs listed below must be submitted </w:t>
            </w:r>
            <w:r>
              <w:rPr>
                <w:i/>
                <w:lang w:eastAsia="en-US"/>
              </w:rPr>
              <w:t>in respect</w:t>
            </w:r>
            <w:r w:rsidRPr="006E0496">
              <w:rPr>
                <w:i/>
                <w:lang w:eastAsia="en-US"/>
              </w:rPr>
              <w:t xml:space="preserve"> of</w:t>
            </w:r>
            <w:r>
              <w:rPr>
                <w:i/>
                <w:lang w:eastAsia="en-US"/>
              </w:rPr>
              <w:t xml:space="preserve"> each member of</w:t>
            </w:r>
            <w:r w:rsidRPr="006E0496">
              <w:rPr>
                <w:i/>
                <w:lang w:eastAsia="en-US"/>
              </w:rPr>
              <w:t xml:space="preserve"> </w:t>
            </w:r>
            <w:r w:rsidR="00D751A2">
              <w:rPr>
                <w:i/>
                <w:lang w:eastAsia="en-US"/>
              </w:rPr>
              <w:t>a</w:t>
            </w:r>
            <w:r w:rsidR="00D751A2" w:rsidRPr="006E0496">
              <w:rPr>
                <w:i/>
                <w:lang w:eastAsia="en-US"/>
              </w:rPr>
              <w:t xml:space="preserve"> </w:t>
            </w:r>
            <w:r w:rsidR="00D751A2">
              <w:rPr>
                <w:i/>
                <w:lang w:eastAsia="en-US"/>
              </w:rPr>
              <w:t>c</w:t>
            </w:r>
            <w:r w:rsidRPr="006E0496">
              <w:rPr>
                <w:i/>
                <w:lang w:eastAsia="en-US"/>
              </w:rPr>
              <w:t>onsortium.</w:t>
            </w:r>
          </w:p>
        </w:tc>
      </w:tr>
      <w:tr w:rsidR="00167A02" w:rsidRPr="00796EAD" w:rsidTr="00167A02">
        <w:tc>
          <w:tcPr>
            <w:tcW w:w="595" w:type="dxa"/>
            <w:tcBorders>
              <w:top w:val="single" w:sz="4" w:space="0" w:color="auto"/>
              <w:bottom w:val="single" w:sz="8" w:space="0" w:color="auto"/>
            </w:tcBorders>
          </w:tcPr>
          <w:p w:rsidR="00167A02" w:rsidRPr="00796EAD" w:rsidRDefault="00167A02" w:rsidP="00167A02">
            <w:pPr>
              <w:pStyle w:val="Stext1"/>
              <w:numPr>
                <w:ilvl w:val="0"/>
                <w:numId w:val="25"/>
              </w:numPr>
              <w:rPr>
                <w:lang w:eastAsia="en-US"/>
              </w:rPr>
            </w:pPr>
          </w:p>
        </w:tc>
        <w:tc>
          <w:tcPr>
            <w:tcW w:w="5075" w:type="dxa"/>
            <w:tcBorders>
              <w:top w:val="single" w:sz="4" w:space="0" w:color="auto"/>
              <w:bottom w:val="single" w:sz="8" w:space="0" w:color="auto"/>
            </w:tcBorders>
          </w:tcPr>
          <w:p w:rsidR="00167A02" w:rsidRPr="00F74127" w:rsidRDefault="00990075" w:rsidP="00AA0371">
            <w:pPr>
              <w:pStyle w:val="Stext1"/>
              <w:ind w:left="0"/>
              <w:rPr>
                <w:lang w:eastAsia="en-US"/>
              </w:rPr>
            </w:pPr>
            <w:r>
              <w:rPr>
                <w:lang w:eastAsia="en-US"/>
              </w:rPr>
              <w:t>A b</w:t>
            </w:r>
            <w:r w:rsidR="00167A02" w:rsidRPr="00F74127">
              <w:rPr>
                <w:lang w:eastAsia="en-US"/>
              </w:rPr>
              <w:t xml:space="preserve">idder is </w:t>
            </w:r>
            <w:r w:rsidR="00D751A2">
              <w:rPr>
                <w:lang w:eastAsia="en-US"/>
              </w:rPr>
              <w:t xml:space="preserve">an </w:t>
            </w:r>
            <w:r w:rsidR="00167A02" w:rsidRPr="00F74127">
              <w:rPr>
                <w:lang w:eastAsia="en-US"/>
              </w:rPr>
              <w:t xml:space="preserve">active legal entity, registered in the competent </w:t>
            </w:r>
            <w:r w:rsidR="00167A02">
              <w:rPr>
                <w:lang w:eastAsia="en-US"/>
              </w:rPr>
              <w:t>commercial</w:t>
            </w:r>
            <w:r w:rsidR="00167A02" w:rsidRPr="00F74127">
              <w:rPr>
                <w:lang w:eastAsia="en-US"/>
              </w:rPr>
              <w:t xml:space="preserve"> registry </w:t>
            </w:r>
            <w:r w:rsidR="00167A02">
              <w:rPr>
                <w:lang w:eastAsia="en-US"/>
              </w:rPr>
              <w:t>in</w:t>
            </w:r>
            <w:r w:rsidR="00167A02" w:rsidRPr="00F74127">
              <w:rPr>
                <w:lang w:eastAsia="en-US"/>
              </w:rPr>
              <w:t xml:space="preserve"> the country of residence.</w:t>
            </w:r>
          </w:p>
        </w:tc>
        <w:tc>
          <w:tcPr>
            <w:tcW w:w="7513" w:type="dxa"/>
            <w:tcBorders>
              <w:top w:val="single" w:sz="4" w:space="0" w:color="auto"/>
              <w:bottom w:val="single" w:sz="8" w:space="0" w:color="auto"/>
            </w:tcBorders>
          </w:tcPr>
          <w:p w:rsidR="00167A02" w:rsidRPr="0064564B" w:rsidRDefault="00167A02" w:rsidP="00AA0371">
            <w:pPr>
              <w:pStyle w:val="Stext1"/>
              <w:ind w:left="0"/>
              <w:rPr>
                <w:lang w:eastAsia="en-US"/>
              </w:rPr>
            </w:pPr>
            <w:r w:rsidRPr="00516086">
              <w:rPr>
                <w:u w:val="single"/>
                <w:lang w:eastAsia="en-US"/>
              </w:rPr>
              <w:t xml:space="preserve">FOR DOMESTIC </w:t>
            </w:r>
            <w:r>
              <w:rPr>
                <w:u w:val="single"/>
                <w:lang w:eastAsia="en-US"/>
              </w:rPr>
              <w:t>LEGAL PERSONS</w:t>
            </w:r>
            <w:r w:rsidRPr="00516086">
              <w:rPr>
                <w:u w:val="single"/>
                <w:lang w:eastAsia="en-US"/>
              </w:rPr>
              <w:t>:</w:t>
            </w:r>
            <w:r>
              <w:rPr>
                <w:lang w:eastAsia="en-US"/>
              </w:rPr>
              <w:t xml:space="preserve"> Excerpt from the Commercial Registry maintained by the Serbian Business Registers Agency [</w:t>
            </w:r>
            <w:r w:rsidRPr="00516086">
              <w:rPr>
                <w:i/>
                <w:lang w:eastAsia="en-US"/>
              </w:rPr>
              <w:t>Registar privrednih dru</w:t>
            </w:r>
            <w:r w:rsidRPr="00516086">
              <w:rPr>
                <w:i/>
                <w:lang w:val="sr-Latn-RS" w:eastAsia="en-US"/>
              </w:rPr>
              <w:t xml:space="preserve">štava pri </w:t>
            </w:r>
            <w:r>
              <w:rPr>
                <w:i/>
                <w:lang w:eastAsia="en-US"/>
              </w:rPr>
              <w:t>Agenciji za privredne registre</w:t>
            </w:r>
            <w:r>
              <w:rPr>
                <w:lang w:eastAsia="en-US"/>
              </w:rPr>
              <w:t>].</w:t>
            </w:r>
          </w:p>
          <w:p w:rsidR="00167A02" w:rsidRDefault="00167A02" w:rsidP="00AA0371">
            <w:pPr>
              <w:pStyle w:val="Stext1"/>
              <w:ind w:left="0"/>
              <w:rPr>
                <w:lang w:eastAsia="en-US"/>
              </w:rPr>
            </w:pPr>
            <w:r w:rsidRPr="00516086">
              <w:rPr>
                <w:u w:val="single"/>
                <w:lang w:eastAsia="en-US"/>
              </w:rPr>
              <w:t xml:space="preserve">FOR FOREIGN </w:t>
            </w:r>
            <w:r>
              <w:rPr>
                <w:u w:val="single"/>
                <w:lang w:eastAsia="en-US"/>
              </w:rPr>
              <w:t>LEGAL PERSONS</w:t>
            </w:r>
            <w:r w:rsidRPr="00516086">
              <w:rPr>
                <w:u w:val="single"/>
                <w:lang w:eastAsia="en-US"/>
              </w:rPr>
              <w:t>:</w:t>
            </w:r>
            <w:r w:rsidRPr="00516086">
              <w:rPr>
                <w:lang w:eastAsia="en-US"/>
              </w:rPr>
              <w:t xml:space="preserve"> Excerpt from the </w:t>
            </w:r>
            <w:r>
              <w:rPr>
                <w:lang w:eastAsia="en-US"/>
              </w:rPr>
              <w:t xml:space="preserve">competent commercial registry in the country of residence or the equivalent document available within the legal system of the country of residence of </w:t>
            </w:r>
            <w:r w:rsidR="00D751A2">
              <w:rPr>
                <w:lang w:eastAsia="en-US"/>
              </w:rPr>
              <w:t>a b</w:t>
            </w:r>
            <w:r>
              <w:rPr>
                <w:lang w:eastAsia="en-US"/>
              </w:rPr>
              <w:t>idder.</w:t>
            </w:r>
          </w:p>
          <w:p w:rsidR="00167A02" w:rsidRPr="00DF417F" w:rsidRDefault="00167A02" w:rsidP="00AA0371">
            <w:pPr>
              <w:pStyle w:val="Stext1"/>
              <w:ind w:left="0"/>
              <w:rPr>
                <w:i/>
                <w:lang w:eastAsia="en-US"/>
              </w:rPr>
            </w:pPr>
            <w:r w:rsidRPr="00DF417F">
              <w:rPr>
                <w:b/>
                <w:i/>
                <w:lang w:eastAsia="en-US"/>
              </w:rPr>
              <w:t xml:space="preserve">NOTE: </w:t>
            </w:r>
            <w:r w:rsidRPr="00DF417F">
              <w:rPr>
                <w:i/>
                <w:lang w:eastAsia="en-US"/>
              </w:rPr>
              <w:t xml:space="preserve">The excerpt or its corresponding equivalent shall not be older than </w:t>
            </w:r>
            <w:r w:rsidR="00722FB3">
              <w:rPr>
                <w:i/>
                <w:lang w:eastAsia="en-US"/>
              </w:rPr>
              <w:t>30 days</w:t>
            </w:r>
            <w:r w:rsidRPr="00DF417F">
              <w:rPr>
                <w:i/>
                <w:lang w:eastAsia="en-US"/>
              </w:rPr>
              <w:t>, counting from</w:t>
            </w:r>
            <w:r w:rsidR="00722FB3">
              <w:rPr>
                <w:i/>
                <w:lang w:eastAsia="en-US"/>
              </w:rPr>
              <w:t xml:space="preserve"> the issuing date until the date of</w:t>
            </w:r>
            <w:r w:rsidRPr="00DF417F">
              <w:rPr>
                <w:i/>
                <w:lang w:eastAsia="en-US"/>
              </w:rPr>
              <w:t xml:space="preserve"> the Bids' Submission Deadline</w:t>
            </w:r>
            <w:r w:rsidR="00D751A2">
              <w:rPr>
                <w:i/>
                <w:lang w:eastAsia="en-US"/>
              </w:rPr>
              <w:t xml:space="preserve"> i.e. 31 January 2018</w:t>
            </w:r>
            <w:r w:rsidRPr="00DF417F">
              <w:rPr>
                <w:i/>
                <w:lang w:eastAsia="en-US"/>
              </w:rPr>
              <w:t>.</w:t>
            </w:r>
          </w:p>
        </w:tc>
      </w:tr>
      <w:tr w:rsidR="00167A02" w:rsidRPr="00796EAD" w:rsidTr="00167A02">
        <w:tc>
          <w:tcPr>
            <w:tcW w:w="595" w:type="dxa"/>
            <w:tcBorders>
              <w:top w:val="single" w:sz="8" w:space="0" w:color="auto"/>
              <w:bottom w:val="single" w:sz="8" w:space="0" w:color="auto"/>
            </w:tcBorders>
          </w:tcPr>
          <w:p w:rsidR="00167A02" w:rsidRPr="00796EAD" w:rsidRDefault="00167A02" w:rsidP="00167A02">
            <w:pPr>
              <w:pStyle w:val="Stext1"/>
              <w:numPr>
                <w:ilvl w:val="0"/>
                <w:numId w:val="25"/>
              </w:numPr>
              <w:rPr>
                <w:lang w:eastAsia="en-US"/>
              </w:rPr>
            </w:pPr>
          </w:p>
        </w:tc>
        <w:tc>
          <w:tcPr>
            <w:tcW w:w="5075" w:type="dxa"/>
            <w:tcBorders>
              <w:top w:val="single" w:sz="8" w:space="0" w:color="auto"/>
              <w:bottom w:val="single" w:sz="8" w:space="0" w:color="auto"/>
            </w:tcBorders>
          </w:tcPr>
          <w:p w:rsidR="00167A02" w:rsidRPr="00F74127" w:rsidRDefault="00990075" w:rsidP="00AA0371">
            <w:pPr>
              <w:pStyle w:val="Stext1"/>
              <w:ind w:left="0"/>
              <w:rPr>
                <w:lang w:eastAsia="en-US"/>
              </w:rPr>
            </w:pPr>
            <w:r>
              <w:rPr>
                <w:lang w:eastAsia="en-US"/>
              </w:rPr>
              <w:t>A</w:t>
            </w:r>
            <w:r w:rsidRPr="00F74127">
              <w:rPr>
                <w:lang w:eastAsia="en-US"/>
              </w:rPr>
              <w:t xml:space="preserve"> </w:t>
            </w:r>
            <w:r>
              <w:rPr>
                <w:lang w:eastAsia="en-US"/>
              </w:rPr>
              <w:t>b</w:t>
            </w:r>
            <w:r w:rsidR="00167A02" w:rsidRPr="00F74127">
              <w:rPr>
                <w:lang w:eastAsia="en-US"/>
              </w:rPr>
              <w:t>idder and its legal representative</w:t>
            </w:r>
            <w:r>
              <w:rPr>
                <w:lang w:eastAsia="en-US"/>
              </w:rPr>
              <w:t>s</w:t>
            </w:r>
            <w:r w:rsidR="00167A02" w:rsidRPr="00F74127">
              <w:rPr>
                <w:lang w:eastAsia="en-US"/>
              </w:rPr>
              <w:t xml:space="preserve"> ha</w:t>
            </w:r>
            <w:r w:rsidR="00167A02">
              <w:rPr>
                <w:lang w:eastAsia="en-US"/>
              </w:rPr>
              <w:t>ve</w:t>
            </w:r>
            <w:r w:rsidR="00167A02" w:rsidRPr="00F74127">
              <w:rPr>
                <w:lang w:eastAsia="en-US"/>
              </w:rPr>
              <w:t xml:space="preserve"> not been convicted for any criminal act</w:t>
            </w:r>
            <w:r w:rsidR="00167A02">
              <w:rPr>
                <w:lang w:eastAsia="en-US"/>
              </w:rPr>
              <w:t xml:space="preserve"> as a member to the organised criminal group</w:t>
            </w:r>
            <w:r w:rsidR="00167A02" w:rsidRPr="00F74127">
              <w:rPr>
                <w:lang w:eastAsia="en-US"/>
              </w:rPr>
              <w:t xml:space="preserve">, have not been </w:t>
            </w:r>
            <w:r w:rsidR="00167A02">
              <w:rPr>
                <w:lang w:eastAsia="en-US"/>
              </w:rPr>
              <w:t>convicted</w:t>
            </w:r>
            <w:r w:rsidR="00167A02" w:rsidRPr="00F74127">
              <w:rPr>
                <w:lang w:eastAsia="en-US"/>
              </w:rPr>
              <w:t xml:space="preserve"> for </w:t>
            </w:r>
            <w:r w:rsidR="00167A02">
              <w:rPr>
                <w:lang w:eastAsia="en-US"/>
              </w:rPr>
              <w:t xml:space="preserve">white collar </w:t>
            </w:r>
            <w:r w:rsidR="00167A02" w:rsidRPr="00F74127">
              <w:rPr>
                <w:lang w:eastAsia="en-US"/>
              </w:rPr>
              <w:t>crimes</w:t>
            </w:r>
            <w:r w:rsidR="00167A02">
              <w:rPr>
                <w:lang w:eastAsia="en-US"/>
              </w:rPr>
              <w:t xml:space="preserve"> [</w:t>
            </w:r>
            <w:r w:rsidR="00167A02">
              <w:rPr>
                <w:i/>
                <w:lang w:eastAsia="en-US"/>
              </w:rPr>
              <w:t>krivično delo protiv privrede</w:t>
            </w:r>
            <w:r w:rsidR="00167A02">
              <w:rPr>
                <w:lang w:eastAsia="en-US"/>
              </w:rPr>
              <w:t>], criminal acts</w:t>
            </w:r>
            <w:r w:rsidR="00167A02" w:rsidRPr="00F74127">
              <w:rPr>
                <w:lang w:eastAsia="en-US"/>
              </w:rPr>
              <w:t xml:space="preserve"> against environmental protection, </w:t>
            </w:r>
            <w:r w:rsidR="00167A02">
              <w:rPr>
                <w:lang w:eastAsia="en-US"/>
              </w:rPr>
              <w:t>criminal acts</w:t>
            </w:r>
            <w:r w:rsidR="00167A02" w:rsidRPr="00F74127">
              <w:rPr>
                <w:lang w:eastAsia="en-US"/>
              </w:rPr>
              <w:t xml:space="preserve"> of receiving or giving bribes or </w:t>
            </w:r>
            <w:r w:rsidR="00167A02">
              <w:rPr>
                <w:lang w:eastAsia="en-US"/>
              </w:rPr>
              <w:t xml:space="preserve">the criminal act of </w:t>
            </w:r>
            <w:r w:rsidR="00167A02" w:rsidRPr="00F74127">
              <w:rPr>
                <w:lang w:eastAsia="en-US"/>
              </w:rPr>
              <w:t>fraud.</w:t>
            </w:r>
          </w:p>
        </w:tc>
        <w:tc>
          <w:tcPr>
            <w:tcW w:w="7513" w:type="dxa"/>
            <w:tcBorders>
              <w:top w:val="single" w:sz="8" w:space="0" w:color="auto"/>
              <w:bottom w:val="single" w:sz="8" w:space="0" w:color="auto"/>
            </w:tcBorders>
          </w:tcPr>
          <w:p w:rsidR="00167A02" w:rsidRDefault="00167A02" w:rsidP="00AA0371">
            <w:pPr>
              <w:pStyle w:val="Stext1"/>
              <w:ind w:left="0"/>
              <w:rPr>
                <w:lang w:eastAsia="en-US"/>
              </w:rPr>
            </w:pPr>
            <w:r w:rsidRPr="00516086">
              <w:rPr>
                <w:u w:val="single"/>
                <w:lang w:eastAsia="en-US"/>
              </w:rPr>
              <w:t xml:space="preserve">FOR DOMESTIC </w:t>
            </w:r>
            <w:r>
              <w:rPr>
                <w:u w:val="single"/>
                <w:lang w:eastAsia="en-US"/>
              </w:rPr>
              <w:t>LEGAL PERSONS</w:t>
            </w:r>
            <w:r w:rsidRPr="00516086">
              <w:rPr>
                <w:u w:val="single"/>
                <w:lang w:eastAsia="en-US"/>
              </w:rPr>
              <w:t>:</w:t>
            </w:r>
          </w:p>
          <w:p w:rsidR="00167A02" w:rsidRDefault="00167A02" w:rsidP="00167A02">
            <w:pPr>
              <w:pStyle w:val="Stext1"/>
              <w:numPr>
                <w:ilvl w:val="0"/>
                <w:numId w:val="27"/>
              </w:numPr>
              <w:rPr>
                <w:lang w:val="en-US" w:eastAsia="en-US"/>
              </w:rPr>
            </w:pPr>
            <w:r w:rsidRPr="002A6B66">
              <w:rPr>
                <w:lang w:eastAsia="en-US"/>
              </w:rPr>
              <w:t xml:space="preserve">For criminal acts of organised crime- </w:t>
            </w:r>
            <w:r>
              <w:rPr>
                <w:lang w:eastAsia="en-US"/>
              </w:rPr>
              <w:t xml:space="preserve">CERTIFICATE OF THE SPECIAL DEPARTMENT (FOR ORGANISED CRIME) OF THE HIGH COURT IN BELGRADE, confirming that </w:t>
            </w:r>
            <w:r w:rsidR="00D751A2">
              <w:rPr>
                <w:lang w:eastAsia="en-US"/>
              </w:rPr>
              <w:t>a b</w:t>
            </w:r>
            <w:r>
              <w:rPr>
                <w:lang w:eastAsia="en-US"/>
              </w:rPr>
              <w:t>idder has not been convicted for an</w:t>
            </w:r>
            <w:r>
              <w:rPr>
                <w:lang w:val="en-US" w:eastAsia="en-US"/>
              </w:rPr>
              <w:t>y of the criminal acts of the organized crime;</w:t>
            </w:r>
          </w:p>
          <w:p w:rsidR="00167A02" w:rsidRPr="008747FC" w:rsidRDefault="00167A02" w:rsidP="00167A02">
            <w:pPr>
              <w:pStyle w:val="Stext1"/>
              <w:numPr>
                <w:ilvl w:val="0"/>
                <w:numId w:val="27"/>
              </w:numPr>
              <w:rPr>
                <w:lang w:val="en-US" w:eastAsia="en-US"/>
              </w:rPr>
            </w:pPr>
            <w:r>
              <w:rPr>
                <w:lang w:val="en-US" w:eastAsia="en-US"/>
              </w:rPr>
              <w:t xml:space="preserve">For white collar crimes and criminal acts </w:t>
            </w:r>
            <w:r w:rsidRPr="00F74127">
              <w:rPr>
                <w:lang w:eastAsia="en-US"/>
              </w:rPr>
              <w:t xml:space="preserve">against environmental protection, </w:t>
            </w:r>
            <w:r>
              <w:rPr>
                <w:lang w:eastAsia="en-US"/>
              </w:rPr>
              <w:t>criminal act</w:t>
            </w:r>
            <w:r w:rsidRPr="00F74127">
              <w:rPr>
                <w:lang w:eastAsia="en-US"/>
              </w:rPr>
              <w:t xml:space="preserve"> of receiving or giving bribes or </w:t>
            </w:r>
            <w:r>
              <w:rPr>
                <w:lang w:eastAsia="en-US"/>
              </w:rPr>
              <w:t xml:space="preserve">the criminal act of </w:t>
            </w:r>
            <w:r w:rsidRPr="00F74127">
              <w:rPr>
                <w:lang w:eastAsia="en-US"/>
              </w:rPr>
              <w:t>fraud</w:t>
            </w:r>
            <w:r>
              <w:rPr>
                <w:lang w:eastAsia="en-US"/>
              </w:rPr>
              <w:t xml:space="preserve"> – CERTIFICATE OF THE BASIC COURT (which includes the data from the criminal record for criminal acts that are within the competencies of the regular criminal department of the High Court) competent within the territory </w:t>
            </w:r>
            <w:r>
              <w:rPr>
                <w:lang w:eastAsia="en-US"/>
              </w:rPr>
              <w:lastRenderedPageBreak/>
              <w:t xml:space="preserve">where the seat of </w:t>
            </w:r>
            <w:r w:rsidR="00D751A2">
              <w:rPr>
                <w:lang w:eastAsia="en-US"/>
              </w:rPr>
              <w:t>a b</w:t>
            </w:r>
            <w:r>
              <w:rPr>
                <w:lang w:eastAsia="en-US"/>
              </w:rPr>
              <w:t xml:space="preserve">idder is located, confirming that </w:t>
            </w:r>
            <w:r w:rsidR="00D751A2">
              <w:rPr>
                <w:lang w:eastAsia="en-US"/>
              </w:rPr>
              <w:t>a b</w:t>
            </w:r>
            <w:r>
              <w:rPr>
                <w:lang w:eastAsia="en-US"/>
              </w:rPr>
              <w:t xml:space="preserve">idder has not been convicted for </w:t>
            </w:r>
            <w:r>
              <w:rPr>
                <w:lang w:val="en-US" w:eastAsia="en-US"/>
              </w:rPr>
              <w:t xml:space="preserve">white collar crimes and criminal acts </w:t>
            </w:r>
            <w:r w:rsidRPr="00F74127">
              <w:rPr>
                <w:lang w:eastAsia="en-US"/>
              </w:rPr>
              <w:t xml:space="preserve">against environmental protection, </w:t>
            </w:r>
            <w:r>
              <w:rPr>
                <w:lang w:eastAsia="en-US"/>
              </w:rPr>
              <w:t>criminal act</w:t>
            </w:r>
            <w:r w:rsidRPr="00F74127">
              <w:rPr>
                <w:lang w:eastAsia="en-US"/>
              </w:rPr>
              <w:t xml:space="preserve"> of receiving or giving bribes or </w:t>
            </w:r>
            <w:r>
              <w:rPr>
                <w:lang w:eastAsia="en-US"/>
              </w:rPr>
              <w:t xml:space="preserve">the criminal act of </w:t>
            </w:r>
            <w:r w:rsidRPr="00F74127">
              <w:rPr>
                <w:lang w:eastAsia="en-US"/>
              </w:rPr>
              <w:t>fraud</w:t>
            </w:r>
            <w:r>
              <w:rPr>
                <w:lang w:eastAsia="en-US"/>
              </w:rPr>
              <w:t>;</w:t>
            </w:r>
          </w:p>
          <w:p w:rsidR="00167A02" w:rsidRPr="00DF417F" w:rsidRDefault="00167A02" w:rsidP="00AA0371">
            <w:pPr>
              <w:pStyle w:val="Stext1"/>
              <w:ind w:left="0"/>
              <w:rPr>
                <w:i/>
                <w:lang w:eastAsia="en-US"/>
              </w:rPr>
            </w:pPr>
            <w:r w:rsidRPr="00DF417F">
              <w:rPr>
                <w:b/>
                <w:i/>
                <w:lang w:eastAsia="en-US"/>
              </w:rPr>
              <w:t xml:space="preserve">NOTE: </w:t>
            </w:r>
            <w:r w:rsidRPr="00DF417F">
              <w:rPr>
                <w:i/>
                <w:lang w:eastAsia="en-US"/>
              </w:rPr>
              <w:t xml:space="preserve">In case that certificate of the Basic Court does not envisage data from the criminal record for criminal acts that are within the competencies of the regular criminal department of the High Court, </w:t>
            </w:r>
            <w:r w:rsidR="00D751A2">
              <w:rPr>
                <w:i/>
                <w:lang w:eastAsia="en-US"/>
              </w:rPr>
              <w:t>a</w:t>
            </w:r>
            <w:r w:rsidR="00D751A2" w:rsidRPr="00DF417F">
              <w:rPr>
                <w:i/>
                <w:lang w:eastAsia="en-US"/>
              </w:rPr>
              <w:t xml:space="preserve"> </w:t>
            </w:r>
            <w:r w:rsidR="00D751A2">
              <w:rPr>
                <w:i/>
                <w:lang w:eastAsia="en-US"/>
              </w:rPr>
              <w:t>b</w:t>
            </w:r>
            <w:r w:rsidRPr="00DF417F">
              <w:rPr>
                <w:i/>
                <w:lang w:eastAsia="en-US"/>
              </w:rPr>
              <w:t>idder shall deliver the certificates from both the Basic Court and the High Court.</w:t>
            </w:r>
          </w:p>
          <w:p w:rsidR="00167A02" w:rsidRDefault="00167A02" w:rsidP="00AA0371">
            <w:pPr>
              <w:pStyle w:val="Stext1"/>
              <w:ind w:left="0"/>
              <w:rPr>
                <w:u w:val="single"/>
                <w:lang w:eastAsia="en-US"/>
              </w:rPr>
            </w:pPr>
            <w:r>
              <w:rPr>
                <w:u w:val="single"/>
                <w:lang w:eastAsia="en-US"/>
              </w:rPr>
              <w:t>FOR DOMESTIC STATUTORY REPRESENTATIVES OF LEGAL PERSONS:</w:t>
            </w:r>
          </w:p>
          <w:p w:rsidR="00167A02" w:rsidRDefault="00167A02" w:rsidP="00AA0371">
            <w:pPr>
              <w:pStyle w:val="Stext1"/>
              <w:ind w:left="0"/>
              <w:rPr>
                <w:lang w:eastAsia="en-US"/>
              </w:rPr>
            </w:pPr>
            <w:r>
              <w:rPr>
                <w:lang w:eastAsia="en-US"/>
              </w:rPr>
              <w:t xml:space="preserve">Excerpt from the criminal record i.e. competent POLICE DEPARTMENT OF THE MINSITRY OF INTERIOR (competency determined in line with the place of birth or place of residence), confirming that representative has not been convicted for </w:t>
            </w:r>
            <w:r w:rsidRPr="00F74127">
              <w:rPr>
                <w:lang w:eastAsia="en-US"/>
              </w:rPr>
              <w:t>any criminal act</w:t>
            </w:r>
            <w:r>
              <w:rPr>
                <w:lang w:eastAsia="en-US"/>
              </w:rPr>
              <w:t xml:space="preserve"> as a member to the organised criminal group</w:t>
            </w:r>
            <w:r w:rsidRPr="00F74127">
              <w:rPr>
                <w:lang w:eastAsia="en-US"/>
              </w:rPr>
              <w:t xml:space="preserve">, have not been </w:t>
            </w:r>
            <w:r>
              <w:rPr>
                <w:lang w:eastAsia="en-US"/>
              </w:rPr>
              <w:t>convicted</w:t>
            </w:r>
            <w:r w:rsidRPr="00F74127">
              <w:rPr>
                <w:lang w:eastAsia="en-US"/>
              </w:rPr>
              <w:t xml:space="preserve"> for </w:t>
            </w:r>
            <w:r>
              <w:rPr>
                <w:lang w:eastAsia="en-US"/>
              </w:rPr>
              <w:t xml:space="preserve">white collar </w:t>
            </w:r>
            <w:r w:rsidRPr="00F74127">
              <w:rPr>
                <w:lang w:eastAsia="en-US"/>
              </w:rPr>
              <w:t>crimes</w:t>
            </w:r>
            <w:r>
              <w:rPr>
                <w:lang w:eastAsia="en-US"/>
              </w:rPr>
              <w:t>, criminal acts</w:t>
            </w:r>
            <w:r w:rsidRPr="00F74127">
              <w:rPr>
                <w:lang w:eastAsia="en-US"/>
              </w:rPr>
              <w:t xml:space="preserve"> against environmental protection, </w:t>
            </w:r>
            <w:r>
              <w:rPr>
                <w:lang w:eastAsia="en-US"/>
              </w:rPr>
              <w:t>criminal act</w:t>
            </w:r>
            <w:r w:rsidRPr="00F74127">
              <w:rPr>
                <w:lang w:eastAsia="en-US"/>
              </w:rPr>
              <w:t xml:space="preserve"> of receiving or giving bribes or </w:t>
            </w:r>
            <w:r>
              <w:rPr>
                <w:lang w:eastAsia="en-US"/>
              </w:rPr>
              <w:t xml:space="preserve">the criminal act of </w:t>
            </w:r>
            <w:r w:rsidRPr="00F74127">
              <w:rPr>
                <w:lang w:eastAsia="en-US"/>
              </w:rPr>
              <w:t>fraud</w:t>
            </w:r>
            <w:r>
              <w:rPr>
                <w:lang w:eastAsia="en-US"/>
              </w:rPr>
              <w:t>.</w:t>
            </w:r>
          </w:p>
          <w:p w:rsidR="00167A02" w:rsidRPr="00DF417F" w:rsidRDefault="00167A02" w:rsidP="00AA0371">
            <w:pPr>
              <w:pStyle w:val="Stext1"/>
              <w:ind w:left="0"/>
              <w:rPr>
                <w:i/>
                <w:lang w:eastAsia="en-US"/>
              </w:rPr>
            </w:pPr>
            <w:r w:rsidRPr="00DF417F">
              <w:rPr>
                <w:b/>
                <w:i/>
                <w:lang w:eastAsia="en-US"/>
              </w:rPr>
              <w:t xml:space="preserve">NOTE: </w:t>
            </w:r>
            <w:r w:rsidRPr="00DF417F">
              <w:rPr>
                <w:i/>
                <w:lang w:eastAsia="en-US"/>
              </w:rPr>
              <w:t xml:space="preserve">Above excerpt shall be delivered for each of the statutory representatives of </w:t>
            </w:r>
            <w:r w:rsidR="00D751A2">
              <w:rPr>
                <w:i/>
                <w:lang w:eastAsia="en-US"/>
              </w:rPr>
              <w:t>a</w:t>
            </w:r>
            <w:r w:rsidR="00D751A2" w:rsidRPr="00DF417F">
              <w:rPr>
                <w:i/>
                <w:lang w:eastAsia="en-US"/>
              </w:rPr>
              <w:t xml:space="preserve"> </w:t>
            </w:r>
            <w:r w:rsidR="00D751A2">
              <w:rPr>
                <w:i/>
                <w:lang w:eastAsia="en-US"/>
              </w:rPr>
              <w:t>b</w:t>
            </w:r>
            <w:r w:rsidRPr="00DF417F">
              <w:rPr>
                <w:i/>
                <w:lang w:eastAsia="en-US"/>
              </w:rPr>
              <w:t>idder.</w:t>
            </w:r>
          </w:p>
          <w:p w:rsidR="00167A02" w:rsidRDefault="00167A02" w:rsidP="00AA0371">
            <w:pPr>
              <w:pStyle w:val="Stext1"/>
              <w:ind w:left="0"/>
              <w:rPr>
                <w:u w:val="single"/>
                <w:lang w:eastAsia="en-US"/>
              </w:rPr>
            </w:pPr>
            <w:r w:rsidRPr="00516086">
              <w:rPr>
                <w:u w:val="single"/>
                <w:lang w:eastAsia="en-US"/>
              </w:rPr>
              <w:t xml:space="preserve">FOR FOREIGN </w:t>
            </w:r>
            <w:r>
              <w:rPr>
                <w:u w:val="single"/>
                <w:lang w:eastAsia="en-US"/>
              </w:rPr>
              <w:t>LEGAL PERSONS</w:t>
            </w:r>
            <w:r w:rsidRPr="00516086">
              <w:rPr>
                <w:u w:val="single"/>
                <w:lang w:eastAsia="en-US"/>
              </w:rPr>
              <w:t>:</w:t>
            </w:r>
          </w:p>
          <w:p w:rsidR="00167A02" w:rsidRPr="004F2FAE" w:rsidRDefault="00167A02" w:rsidP="00AA0371">
            <w:pPr>
              <w:pStyle w:val="Stext1"/>
              <w:ind w:left="0"/>
              <w:rPr>
                <w:lang w:eastAsia="en-US"/>
              </w:rPr>
            </w:pPr>
            <w:r w:rsidRPr="004F2FAE">
              <w:rPr>
                <w:lang w:eastAsia="en-US"/>
              </w:rPr>
              <w:t xml:space="preserve">Corresponding equivalent proof available under the legal system of the country of residence of </w:t>
            </w:r>
            <w:r w:rsidR="00D751A2">
              <w:rPr>
                <w:lang w:eastAsia="en-US"/>
              </w:rPr>
              <w:t>a</w:t>
            </w:r>
            <w:r w:rsidR="00D751A2" w:rsidRPr="004F2FAE">
              <w:rPr>
                <w:lang w:eastAsia="en-US"/>
              </w:rPr>
              <w:t xml:space="preserve"> </w:t>
            </w:r>
            <w:r w:rsidR="00D751A2">
              <w:rPr>
                <w:lang w:eastAsia="en-US"/>
              </w:rPr>
              <w:t>b</w:t>
            </w:r>
            <w:r w:rsidRPr="004F2FAE">
              <w:rPr>
                <w:lang w:eastAsia="en-US"/>
              </w:rPr>
              <w:t>idder.</w:t>
            </w:r>
            <w:r>
              <w:rPr>
                <w:lang w:eastAsia="en-US"/>
              </w:rPr>
              <w:t xml:space="preserve"> </w:t>
            </w:r>
          </w:p>
          <w:p w:rsidR="00167A02" w:rsidRDefault="00167A02" w:rsidP="00AA0371">
            <w:pPr>
              <w:pStyle w:val="Stext1"/>
              <w:ind w:left="0"/>
              <w:rPr>
                <w:u w:val="single"/>
                <w:lang w:eastAsia="en-US"/>
              </w:rPr>
            </w:pPr>
            <w:r>
              <w:rPr>
                <w:u w:val="single"/>
                <w:lang w:eastAsia="en-US"/>
              </w:rPr>
              <w:t>FOR FOREIGN  STATUTORY REPRESENTATIVES OF LEGAL PERSONS:</w:t>
            </w:r>
          </w:p>
          <w:p w:rsidR="00167A02" w:rsidRDefault="00167A02" w:rsidP="00AA0371">
            <w:pPr>
              <w:pStyle w:val="Stext1"/>
              <w:ind w:left="0"/>
              <w:rPr>
                <w:lang w:eastAsia="en-US"/>
              </w:rPr>
            </w:pPr>
            <w:r>
              <w:rPr>
                <w:lang w:eastAsia="en-US"/>
              </w:rPr>
              <w:t xml:space="preserve">Excerpt from the criminal record i.e. competent POLICE DEPARTMENT OF THE MINSITRY OF INTERIOR (competency determined in line with the place of birth or place of residence), confirming that representative has not been convicted for </w:t>
            </w:r>
            <w:r w:rsidRPr="00F74127">
              <w:rPr>
                <w:lang w:eastAsia="en-US"/>
              </w:rPr>
              <w:t>any criminal act</w:t>
            </w:r>
            <w:r>
              <w:rPr>
                <w:lang w:eastAsia="en-US"/>
              </w:rPr>
              <w:t xml:space="preserve"> as a member to the organised criminal group</w:t>
            </w:r>
            <w:r w:rsidRPr="00F74127">
              <w:rPr>
                <w:lang w:eastAsia="en-US"/>
              </w:rPr>
              <w:t xml:space="preserve">, have not been </w:t>
            </w:r>
            <w:r>
              <w:rPr>
                <w:lang w:eastAsia="en-US"/>
              </w:rPr>
              <w:t>convicted</w:t>
            </w:r>
            <w:r w:rsidRPr="00F74127">
              <w:rPr>
                <w:lang w:eastAsia="en-US"/>
              </w:rPr>
              <w:t xml:space="preserve"> for </w:t>
            </w:r>
            <w:r>
              <w:rPr>
                <w:lang w:eastAsia="en-US"/>
              </w:rPr>
              <w:t xml:space="preserve">white collar </w:t>
            </w:r>
            <w:r w:rsidRPr="00F74127">
              <w:rPr>
                <w:lang w:eastAsia="en-US"/>
              </w:rPr>
              <w:t>crimes</w:t>
            </w:r>
            <w:r>
              <w:rPr>
                <w:lang w:eastAsia="en-US"/>
              </w:rPr>
              <w:t>, criminal acts</w:t>
            </w:r>
            <w:r w:rsidRPr="00F74127">
              <w:rPr>
                <w:lang w:eastAsia="en-US"/>
              </w:rPr>
              <w:t xml:space="preserve"> against environmental protection, </w:t>
            </w:r>
            <w:r>
              <w:rPr>
                <w:lang w:eastAsia="en-US"/>
              </w:rPr>
              <w:t>criminal act</w:t>
            </w:r>
            <w:r w:rsidRPr="00F74127">
              <w:rPr>
                <w:lang w:eastAsia="en-US"/>
              </w:rPr>
              <w:t xml:space="preserve"> of receiving or giving bribes or </w:t>
            </w:r>
            <w:r>
              <w:rPr>
                <w:lang w:eastAsia="en-US"/>
              </w:rPr>
              <w:t xml:space="preserve">the criminal act of </w:t>
            </w:r>
            <w:r w:rsidRPr="00F74127">
              <w:rPr>
                <w:lang w:eastAsia="en-US"/>
              </w:rPr>
              <w:t>fraud</w:t>
            </w:r>
            <w:r>
              <w:rPr>
                <w:lang w:eastAsia="en-US"/>
              </w:rPr>
              <w:t xml:space="preserve">, or the </w:t>
            </w:r>
            <w:r>
              <w:rPr>
                <w:lang w:eastAsia="en-US"/>
              </w:rPr>
              <w:lastRenderedPageBreak/>
              <w:t xml:space="preserve">corresponding equivalent available in the legal system of the country of residence of </w:t>
            </w:r>
            <w:r w:rsidR="00D751A2">
              <w:rPr>
                <w:lang w:eastAsia="en-US"/>
              </w:rPr>
              <w:t>a b</w:t>
            </w:r>
            <w:r>
              <w:rPr>
                <w:lang w:eastAsia="en-US"/>
              </w:rPr>
              <w:t>idder/its legal representative.</w:t>
            </w:r>
          </w:p>
          <w:p w:rsidR="00167A02" w:rsidRPr="009D6E6A" w:rsidRDefault="00167A02" w:rsidP="00AA0371">
            <w:pPr>
              <w:pStyle w:val="Stext1"/>
              <w:ind w:left="0"/>
              <w:rPr>
                <w:i/>
                <w:lang w:eastAsia="en-US"/>
              </w:rPr>
            </w:pPr>
            <w:r w:rsidRPr="00DF417F">
              <w:rPr>
                <w:b/>
                <w:i/>
                <w:lang w:eastAsia="en-US"/>
              </w:rPr>
              <w:t xml:space="preserve">NOTE: </w:t>
            </w:r>
            <w:r w:rsidRPr="00DF417F">
              <w:rPr>
                <w:i/>
                <w:lang w:eastAsia="en-US"/>
              </w:rPr>
              <w:t xml:space="preserve">Above excerpt shall be delivered for each of the statutory representatives of </w:t>
            </w:r>
            <w:r w:rsidR="00D751A2">
              <w:rPr>
                <w:i/>
                <w:lang w:eastAsia="en-US"/>
              </w:rPr>
              <w:t>a</w:t>
            </w:r>
            <w:r w:rsidR="00D751A2" w:rsidRPr="00DF417F">
              <w:rPr>
                <w:i/>
                <w:lang w:eastAsia="en-US"/>
              </w:rPr>
              <w:t xml:space="preserve"> </w:t>
            </w:r>
            <w:r w:rsidR="00D751A2">
              <w:rPr>
                <w:i/>
                <w:lang w:eastAsia="en-US"/>
              </w:rPr>
              <w:t>b</w:t>
            </w:r>
            <w:r w:rsidRPr="00DF417F">
              <w:rPr>
                <w:i/>
                <w:lang w:eastAsia="en-US"/>
              </w:rPr>
              <w:t>idder.</w:t>
            </w:r>
          </w:p>
          <w:p w:rsidR="00167A02" w:rsidRPr="00DF417F" w:rsidRDefault="00167A02" w:rsidP="00722FB3">
            <w:pPr>
              <w:pStyle w:val="Stext1"/>
              <w:ind w:left="0"/>
              <w:rPr>
                <w:i/>
                <w:lang w:eastAsia="en-US"/>
              </w:rPr>
            </w:pPr>
            <w:r w:rsidRPr="00DF417F">
              <w:rPr>
                <w:b/>
                <w:i/>
                <w:lang w:eastAsia="en-US"/>
              </w:rPr>
              <w:t xml:space="preserve">NOTE: </w:t>
            </w:r>
            <w:r w:rsidRPr="00DF417F">
              <w:rPr>
                <w:i/>
                <w:lang w:eastAsia="en-US"/>
              </w:rPr>
              <w:t xml:space="preserve">The proofs shall not be older than </w:t>
            </w:r>
            <w:r w:rsidR="00722FB3">
              <w:rPr>
                <w:i/>
                <w:lang w:eastAsia="en-US"/>
              </w:rPr>
              <w:t>30 days</w:t>
            </w:r>
            <w:r w:rsidRPr="00DF417F">
              <w:rPr>
                <w:i/>
                <w:lang w:eastAsia="en-US"/>
              </w:rPr>
              <w:t>, counting from</w:t>
            </w:r>
            <w:r w:rsidR="00722FB3">
              <w:rPr>
                <w:i/>
                <w:lang w:eastAsia="en-US"/>
              </w:rPr>
              <w:t xml:space="preserve"> the issuing date until the date of</w:t>
            </w:r>
            <w:r w:rsidRPr="00DF417F">
              <w:rPr>
                <w:i/>
                <w:lang w:eastAsia="en-US"/>
              </w:rPr>
              <w:t xml:space="preserve"> the Bids' Submission Deadline</w:t>
            </w:r>
            <w:r w:rsidR="00D751A2">
              <w:rPr>
                <w:i/>
                <w:lang w:eastAsia="en-US"/>
              </w:rPr>
              <w:t xml:space="preserve"> i.e. 31 January 2018</w:t>
            </w:r>
            <w:r w:rsidRPr="00DF417F">
              <w:rPr>
                <w:i/>
                <w:lang w:eastAsia="en-US"/>
              </w:rPr>
              <w:t>.</w:t>
            </w:r>
          </w:p>
        </w:tc>
      </w:tr>
      <w:tr w:rsidR="00167A02" w:rsidRPr="00796EAD" w:rsidTr="00167A02">
        <w:tc>
          <w:tcPr>
            <w:tcW w:w="595" w:type="dxa"/>
            <w:tcBorders>
              <w:top w:val="single" w:sz="8" w:space="0" w:color="auto"/>
              <w:bottom w:val="single" w:sz="8" w:space="0" w:color="auto"/>
            </w:tcBorders>
          </w:tcPr>
          <w:p w:rsidR="00167A02" w:rsidRPr="00796EAD" w:rsidRDefault="00167A02" w:rsidP="00167A02">
            <w:pPr>
              <w:pStyle w:val="Stext1"/>
              <w:numPr>
                <w:ilvl w:val="0"/>
                <w:numId w:val="25"/>
              </w:numPr>
              <w:rPr>
                <w:lang w:eastAsia="en-US"/>
              </w:rPr>
            </w:pPr>
          </w:p>
        </w:tc>
        <w:tc>
          <w:tcPr>
            <w:tcW w:w="5075" w:type="dxa"/>
            <w:tcBorders>
              <w:top w:val="single" w:sz="8" w:space="0" w:color="auto"/>
              <w:bottom w:val="single" w:sz="8" w:space="0" w:color="auto"/>
            </w:tcBorders>
          </w:tcPr>
          <w:p w:rsidR="00167A02" w:rsidRPr="00F74127" w:rsidRDefault="00990075" w:rsidP="00990075">
            <w:pPr>
              <w:pStyle w:val="Stext1"/>
              <w:ind w:left="0"/>
              <w:rPr>
                <w:lang w:eastAsia="en-US"/>
              </w:rPr>
            </w:pPr>
            <w:r>
              <w:rPr>
                <w:lang w:eastAsia="en-US"/>
              </w:rPr>
              <w:t>A</w:t>
            </w:r>
            <w:r w:rsidRPr="00F74127">
              <w:rPr>
                <w:lang w:eastAsia="en-US"/>
              </w:rPr>
              <w:t xml:space="preserve"> </w:t>
            </w:r>
            <w:r>
              <w:rPr>
                <w:lang w:eastAsia="en-US"/>
              </w:rPr>
              <w:t>b</w:t>
            </w:r>
            <w:r w:rsidR="00167A02" w:rsidRPr="00F74127">
              <w:rPr>
                <w:lang w:eastAsia="en-US"/>
              </w:rPr>
              <w:t>idder has paid due taxes</w:t>
            </w:r>
            <w:r w:rsidR="00167A02">
              <w:rPr>
                <w:lang w:eastAsia="en-US"/>
              </w:rPr>
              <w:t>, contributions</w:t>
            </w:r>
            <w:r w:rsidR="00167A02" w:rsidRPr="00F74127">
              <w:rPr>
                <w:lang w:eastAsia="en-US"/>
              </w:rPr>
              <w:t xml:space="preserve"> and other public fees in accordance with the regulations of the Republic of Serbia or such other country of residence of </w:t>
            </w:r>
            <w:r>
              <w:rPr>
                <w:lang w:eastAsia="en-US"/>
              </w:rPr>
              <w:t>a</w:t>
            </w:r>
            <w:r w:rsidRPr="00F74127">
              <w:rPr>
                <w:lang w:eastAsia="en-US"/>
              </w:rPr>
              <w:t xml:space="preserve"> </w:t>
            </w:r>
            <w:r>
              <w:rPr>
                <w:lang w:eastAsia="en-US"/>
              </w:rPr>
              <w:t>b</w:t>
            </w:r>
            <w:r w:rsidR="00167A02" w:rsidRPr="00F74127">
              <w:rPr>
                <w:lang w:eastAsia="en-US"/>
              </w:rPr>
              <w:t>idder</w:t>
            </w:r>
            <w:r w:rsidR="00167A02">
              <w:rPr>
                <w:lang w:eastAsia="en-US"/>
              </w:rPr>
              <w:t>, as the case may be</w:t>
            </w:r>
            <w:r w:rsidR="00167A02" w:rsidRPr="00F74127">
              <w:rPr>
                <w:lang w:eastAsia="en-US"/>
              </w:rPr>
              <w:t>.</w:t>
            </w:r>
          </w:p>
        </w:tc>
        <w:tc>
          <w:tcPr>
            <w:tcW w:w="7513" w:type="dxa"/>
            <w:tcBorders>
              <w:top w:val="single" w:sz="8" w:space="0" w:color="auto"/>
              <w:bottom w:val="single" w:sz="8" w:space="0" w:color="auto"/>
            </w:tcBorders>
          </w:tcPr>
          <w:p w:rsidR="00167A02" w:rsidRDefault="00167A02" w:rsidP="00AA0371">
            <w:pPr>
              <w:pStyle w:val="Stext1"/>
              <w:ind w:left="0"/>
              <w:rPr>
                <w:u w:val="single"/>
                <w:lang w:eastAsia="en-US"/>
              </w:rPr>
            </w:pPr>
            <w:r w:rsidRPr="00516086">
              <w:rPr>
                <w:u w:val="single"/>
                <w:lang w:eastAsia="en-US"/>
              </w:rPr>
              <w:t xml:space="preserve">FOR DOMESTIC </w:t>
            </w:r>
            <w:r>
              <w:rPr>
                <w:u w:val="single"/>
                <w:lang w:eastAsia="en-US"/>
              </w:rPr>
              <w:t>LEGAL PERSONS</w:t>
            </w:r>
            <w:r w:rsidRPr="00516086">
              <w:rPr>
                <w:u w:val="single"/>
                <w:lang w:eastAsia="en-US"/>
              </w:rPr>
              <w:t>:</w:t>
            </w:r>
          </w:p>
          <w:p w:rsidR="00167A02" w:rsidRDefault="00167A02" w:rsidP="00167A02">
            <w:pPr>
              <w:pStyle w:val="Stext1"/>
              <w:numPr>
                <w:ilvl w:val="0"/>
                <w:numId w:val="28"/>
              </w:numPr>
              <w:rPr>
                <w:lang w:eastAsia="en-US"/>
              </w:rPr>
            </w:pPr>
            <w:r>
              <w:rPr>
                <w:lang w:eastAsia="en-US"/>
              </w:rPr>
              <w:t>Certificate of the Tax Administration of the Ministry of Finance of Republic of Serbia (for taxes, contributions and other public fees); and</w:t>
            </w:r>
          </w:p>
          <w:p w:rsidR="00167A02" w:rsidRDefault="00167A02" w:rsidP="00167A02">
            <w:pPr>
              <w:pStyle w:val="Stext1"/>
              <w:numPr>
                <w:ilvl w:val="0"/>
                <w:numId w:val="28"/>
              </w:numPr>
              <w:rPr>
                <w:lang w:eastAsia="en-US"/>
              </w:rPr>
            </w:pPr>
            <w:r>
              <w:rPr>
                <w:lang w:eastAsia="en-US"/>
              </w:rPr>
              <w:t>Certificate of the competent local self-governance unit – city/municipality (for local public fees).</w:t>
            </w:r>
          </w:p>
          <w:p w:rsidR="00167A02" w:rsidRDefault="00167A02" w:rsidP="00AA0371">
            <w:pPr>
              <w:pStyle w:val="Stext1"/>
              <w:ind w:left="0"/>
              <w:rPr>
                <w:u w:val="single"/>
                <w:lang w:eastAsia="en-US"/>
              </w:rPr>
            </w:pPr>
            <w:r w:rsidRPr="00516086">
              <w:rPr>
                <w:u w:val="single"/>
                <w:lang w:eastAsia="en-US"/>
              </w:rPr>
              <w:t xml:space="preserve">FOR FOREIGN </w:t>
            </w:r>
            <w:r>
              <w:rPr>
                <w:u w:val="single"/>
                <w:lang w:eastAsia="en-US"/>
              </w:rPr>
              <w:t>LEGAL PERSONS</w:t>
            </w:r>
            <w:r w:rsidRPr="00516086">
              <w:rPr>
                <w:u w:val="single"/>
                <w:lang w:eastAsia="en-US"/>
              </w:rPr>
              <w:t>:</w:t>
            </w:r>
          </w:p>
          <w:p w:rsidR="00167A02" w:rsidRPr="004F2FAE" w:rsidRDefault="00167A02" w:rsidP="00AA0371">
            <w:pPr>
              <w:pStyle w:val="Stext1"/>
              <w:ind w:left="0"/>
              <w:rPr>
                <w:lang w:eastAsia="en-US"/>
              </w:rPr>
            </w:pPr>
            <w:r w:rsidRPr="004F2FAE">
              <w:rPr>
                <w:lang w:eastAsia="en-US"/>
              </w:rPr>
              <w:t xml:space="preserve">Corresponding equivalent proof available under the legal system of the country of residence of </w:t>
            </w:r>
            <w:r w:rsidR="00D751A2">
              <w:rPr>
                <w:lang w:eastAsia="en-US"/>
              </w:rPr>
              <w:t>a</w:t>
            </w:r>
            <w:r w:rsidRPr="004F2FAE">
              <w:rPr>
                <w:lang w:eastAsia="en-US"/>
              </w:rPr>
              <w:t xml:space="preserve"> </w:t>
            </w:r>
            <w:r w:rsidR="00D751A2">
              <w:rPr>
                <w:lang w:eastAsia="en-US"/>
              </w:rPr>
              <w:t>b</w:t>
            </w:r>
            <w:r w:rsidRPr="004F2FAE">
              <w:rPr>
                <w:lang w:eastAsia="en-US"/>
              </w:rPr>
              <w:t>idder.</w:t>
            </w:r>
            <w:r>
              <w:rPr>
                <w:lang w:eastAsia="en-US"/>
              </w:rPr>
              <w:t xml:space="preserve"> </w:t>
            </w:r>
          </w:p>
          <w:p w:rsidR="00167A02" w:rsidRPr="00DF417F" w:rsidRDefault="00167A02" w:rsidP="00722FB3">
            <w:pPr>
              <w:pStyle w:val="Stext1"/>
              <w:ind w:left="0"/>
              <w:rPr>
                <w:i/>
                <w:lang w:eastAsia="en-US"/>
              </w:rPr>
            </w:pPr>
            <w:r w:rsidRPr="00DF417F">
              <w:rPr>
                <w:b/>
                <w:i/>
                <w:lang w:eastAsia="en-US"/>
              </w:rPr>
              <w:t xml:space="preserve">NOTE: </w:t>
            </w:r>
            <w:r w:rsidRPr="00DF417F">
              <w:rPr>
                <w:i/>
                <w:lang w:eastAsia="en-US"/>
              </w:rPr>
              <w:t xml:space="preserve">The proofs shall not be older than </w:t>
            </w:r>
            <w:r w:rsidR="00722FB3">
              <w:rPr>
                <w:i/>
                <w:lang w:eastAsia="en-US"/>
              </w:rPr>
              <w:t>30 days</w:t>
            </w:r>
            <w:r w:rsidRPr="00DF417F">
              <w:rPr>
                <w:i/>
                <w:lang w:eastAsia="en-US"/>
              </w:rPr>
              <w:t xml:space="preserve">, counting from </w:t>
            </w:r>
            <w:r w:rsidR="00722FB3">
              <w:rPr>
                <w:i/>
                <w:lang w:eastAsia="en-US"/>
              </w:rPr>
              <w:t xml:space="preserve">the issuing date until the date of </w:t>
            </w:r>
            <w:r w:rsidRPr="00DF417F">
              <w:rPr>
                <w:i/>
                <w:lang w:eastAsia="en-US"/>
              </w:rPr>
              <w:t>the Bids' Submission Deadline</w:t>
            </w:r>
            <w:r w:rsidR="00D751A2">
              <w:rPr>
                <w:i/>
                <w:lang w:eastAsia="en-US"/>
              </w:rPr>
              <w:t xml:space="preserve"> i.e. 31 January 2018</w:t>
            </w:r>
            <w:r w:rsidRPr="00DF417F">
              <w:rPr>
                <w:i/>
                <w:lang w:eastAsia="en-US"/>
              </w:rPr>
              <w:t>.</w:t>
            </w:r>
          </w:p>
        </w:tc>
      </w:tr>
      <w:tr w:rsidR="00167A02" w:rsidRPr="00796EAD" w:rsidTr="00167A02">
        <w:tc>
          <w:tcPr>
            <w:tcW w:w="595" w:type="dxa"/>
            <w:tcBorders>
              <w:top w:val="single" w:sz="8" w:space="0" w:color="auto"/>
              <w:bottom w:val="single" w:sz="2" w:space="0" w:color="auto"/>
            </w:tcBorders>
          </w:tcPr>
          <w:p w:rsidR="00167A02" w:rsidRPr="00796EAD" w:rsidRDefault="00167A02" w:rsidP="00167A02">
            <w:pPr>
              <w:pStyle w:val="Stext1"/>
              <w:numPr>
                <w:ilvl w:val="0"/>
                <w:numId w:val="25"/>
              </w:numPr>
              <w:rPr>
                <w:lang w:eastAsia="en-US"/>
              </w:rPr>
            </w:pPr>
          </w:p>
        </w:tc>
        <w:tc>
          <w:tcPr>
            <w:tcW w:w="5075" w:type="dxa"/>
            <w:tcBorders>
              <w:top w:val="single" w:sz="8" w:space="0" w:color="auto"/>
              <w:bottom w:val="single" w:sz="2" w:space="0" w:color="auto"/>
            </w:tcBorders>
          </w:tcPr>
          <w:p w:rsidR="00167A02" w:rsidRPr="00F74127" w:rsidRDefault="00990075" w:rsidP="00990075">
            <w:pPr>
              <w:pStyle w:val="Stext1"/>
              <w:ind w:left="0"/>
              <w:rPr>
                <w:lang w:eastAsia="en-US"/>
              </w:rPr>
            </w:pPr>
            <w:r>
              <w:rPr>
                <w:lang w:eastAsia="en-US"/>
              </w:rPr>
              <w:t>A b</w:t>
            </w:r>
            <w:r w:rsidR="00167A02">
              <w:rPr>
                <w:lang w:eastAsia="en-US"/>
              </w:rPr>
              <w:t xml:space="preserve">idder complies to all obligations stemming from the legal acts governing safety at work, employment and labour conditions, and environmental protection and there is no prohibition of performance of business activity issued against </w:t>
            </w:r>
            <w:r>
              <w:rPr>
                <w:lang w:eastAsia="en-US"/>
              </w:rPr>
              <w:t>a b</w:t>
            </w:r>
            <w:r w:rsidR="00167A02">
              <w:rPr>
                <w:lang w:eastAsia="en-US"/>
              </w:rPr>
              <w:t xml:space="preserve">idder applicable at the time of submission of </w:t>
            </w:r>
            <w:r>
              <w:rPr>
                <w:lang w:eastAsia="en-US"/>
              </w:rPr>
              <w:t>a b</w:t>
            </w:r>
            <w:r w:rsidR="00167A02">
              <w:rPr>
                <w:lang w:eastAsia="en-US"/>
              </w:rPr>
              <w:t>id.</w:t>
            </w:r>
          </w:p>
        </w:tc>
        <w:tc>
          <w:tcPr>
            <w:tcW w:w="7513" w:type="dxa"/>
            <w:tcBorders>
              <w:top w:val="single" w:sz="8" w:space="0" w:color="auto"/>
              <w:bottom w:val="single" w:sz="2" w:space="0" w:color="auto"/>
            </w:tcBorders>
          </w:tcPr>
          <w:p w:rsidR="00167A02" w:rsidRDefault="00167A02" w:rsidP="00AA0371">
            <w:pPr>
              <w:pStyle w:val="Stext1"/>
              <w:ind w:left="0"/>
              <w:rPr>
                <w:u w:val="single"/>
                <w:lang w:eastAsia="en-US"/>
              </w:rPr>
            </w:pPr>
            <w:r>
              <w:rPr>
                <w:u w:val="single"/>
                <w:lang w:eastAsia="en-US"/>
              </w:rPr>
              <w:t>FOR ALL BIDDERS:</w:t>
            </w:r>
          </w:p>
          <w:p w:rsidR="00167A02" w:rsidRPr="0035257A" w:rsidRDefault="00167A02" w:rsidP="00722FB3">
            <w:pPr>
              <w:pStyle w:val="Stext1"/>
              <w:ind w:left="0"/>
              <w:rPr>
                <w:lang w:eastAsia="en-US"/>
              </w:rPr>
            </w:pPr>
            <w:r>
              <w:rPr>
                <w:lang w:eastAsia="en-US"/>
              </w:rPr>
              <w:t xml:space="preserve">Duly signed and certified Statement, </w:t>
            </w:r>
            <w:r w:rsidR="00722FB3">
              <w:rPr>
                <w:lang w:eastAsia="en-US"/>
              </w:rPr>
              <w:t xml:space="preserve">template of which is </w:t>
            </w:r>
            <w:r>
              <w:rPr>
                <w:lang w:eastAsia="en-US"/>
              </w:rPr>
              <w:t>provided within Tender Documentation.</w:t>
            </w:r>
          </w:p>
        </w:tc>
      </w:tr>
    </w:tbl>
    <w:p w:rsidR="00167A02" w:rsidRPr="00916D06" w:rsidRDefault="00167A02" w:rsidP="00167A02">
      <w:pPr>
        <w:jc w:val="both"/>
        <w:rPr>
          <w:lang w:eastAsia="zh-TW"/>
        </w:rPr>
      </w:pPr>
    </w:p>
    <w:p w:rsidR="00BE29A2" w:rsidRDefault="00BE29A2">
      <w:pPr>
        <w:rPr>
          <w:lang w:eastAsia="zh-TW"/>
        </w:rPr>
      </w:pPr>
      <w:r>
        <w:rPr>
          <w:lang w:eastAsia="zh-TW"/>
        </w:rPr>
        <w:br w:type="page"/>
      </w:r>
    </w:p>
    <w:p w:rsidR="00BE29A2" w:rsidRDefault="00BE29A2" w:rsidP="00BE29A2">
      <w:pPr>
        <w:rPr>
          <w:lang w:eastAsia="zh-TW"/>
        </w:rPr>
      </w:pPr>
    </w:p>
    <w:p w:rsidR="00167A02" w:rsidRPr="00916D06" w:rsidRDefault="00167A02" w:rsidP="00167A02">
      <w:pPr>
        <w:pStyle w:val="Sheading1"/>
        <w:rPr>
          <w:lang w:eastAsia="zh-TW"/>
        </w:rPr>
      </w:pPr>
      <w:r>
        <w:rPr>
          <w:lang w:eastAsia="zh-TW"/>
        </w:rPr>
        <w:t>Additional participation requirements</w:t>
      </w:r>
    </w:p>
    <w:p w:rsidR="00167A02" w:rsidRDefault="00167A02" w:rsidP="00167A02">
      <w:pPr>
        <w:rPr>
          <w:lang w:val="en-GB" w:eastAsia="zh-TW"/>
        </w:rPr>
      </w:pPr>
    </w:p>
    <w:tbl>
      <w:tblPr>
        <w:tblStyle w:val="TableGrid"/>
        <w:tblW w:w="13325" w:type="dxa"/>
        <w:tblInd w:w="250" w:type="dxa"/>
        <w:tblBorders>
          <w:left w:val="none" w:sz="0" w:space="0" w:color="auto"/>
          <w:right w:val="none" w:sz="0" w:space="0" w:color="auto"/>
          <w:insideH w:val="none" w:sz="0" w:space="0" w:color="auto"/>
        </w:tblBorders>
        <w:tblLook w:val="04A0" w:firstRow="1" w:lastRow="0" w:firstColumn="1" w:lastColumn="0" w:noHBand="0" w:noVBand="1"/>
      </w:tblPr>
      <w:tblGrid>
        <w:gridCol w:w="595"/>
        <w:gridCol w:w="5075"/>
        <w:gridCol w:w="7655"/>
      </w:tblGrid>
      <w:tr w:rsidR="00167A02" w:rsidRPr="00796EAD" w:rsidTr="00167A02">
        <w:tc>
          <w:tcPr>
            <w:tcW w:w="595" w:type="dxa"/>
            <w:tcBorders>
              <w:top w:val="single" w:sz="12" w:space="0" w:color="auto"/>
              <w:bottom w:val="single" w:sz="12" w:space="0" w:color="auto"/>
            </w:tcBorders>
            <w:shd w:val="clear" w:color="auto" w:fill="D9D9D9" w:themeFill="background1" w:themeFillShade="D9"/>
          </w:tcPr>
          <w:p w:rsidR="00167A02" w:rsidRPr="00796EAD" w:rsidRDefault="00167A02" w:rsidP="00AA0371">
            <w:pPr>
              <w:pStyle w:val="Stext1"/>
              <w:ind w:left="0"/>
              <w:jc w:val="center"/>
              <w:rPr>
                <w:b/>
                <w:lang w:eastAsia="en-US"/>
              </w:rPr>
            </w:pPr>
            <w:r w:rsidRPr="00796EAD">
              <w:rPr>
                <w:b/>
                <w:lang w:eastAsia="en-US"/>
              </w:rPr>
              <w:t>No.</w:t>
            </w:r>
          </w:p>
        </w:tc>
        <w:tc>
          <w:tcPr>
            <w:tcW w:w="5075" w:type="dxa"/>
            <w:tcBorders>
              <w:top w:val="single" w:sz="12" w:space="0" w:color="auto"/>
              <w:bottom w:val="single" w:sz="12" w:space="0" w:color="auto"/>
            </w:tcBorders>
            <w:shd w:val="clear" w:color="auto" w:fill="D9D9D9" w:themeFill="background1" w:themeFillShade="D9"/>
          </w:tcPr>
          <w:p w:rsidR="00167A02" w:rsidRPr="00796EAD" w:rsidRDefault="00167A02" w:rsidP="00AA0371">
            <w:pPr>
              <w:pStyle w:val="Stext1"/>
              <w:ind w:left="0"/>
              <w:jc w:val="center"/>
              <w:rPr>
                <w:b/>
                <w:lang w:eastAsia="en-US"/>
              </w:rPr>
            </w:pPr>
            <w:r w:rsidRPr="00796EAD">
              <w:rPr>
                <w:b/>
                <w:lang w:eastAsia="en-US"/>
              </w:rPr>
              <w:t xml:space="preserve">Requirement </w:t>
            </w:r>
          </w:p>
        </w:tc>
        <w:tc>
          <w:tcPr>
            <w:tcW w:w="7655" w:type="dxa"/>
            <w:tcBorders>
              <w:top w:val="single" w:sz="12" w:space="0" w:color="auto"/>
              <w:bottom w:val="single" w:sz="12" w:space="0" w:color="auto"/>
            </w:tcBorders>
            <w:shd w:val="clear" w:color="auto" w:fill="D9D9D9" w:themeFill="background1" w:themeFillShade="D9"/>
          </w:tcPr>
          <w:p w:rsidR="00167A02" w:rsidRPr="00796EAD" w:rsidRDefault="00167A02" w:rsidP="00AA0371">
            <w:pPr>
              <w:pStyle w:val="Stext1"/>
              <w:ind w:left="0"/>
              <w:jc w:val="center"/>
              <w:rPr>
                <w:b/>
                <w:lang w:eastAsia="en-US"/>
              </w:rPr>
            </w:pPr>
            <w:r>
              <w:rPr>
                <w:b/>
                <w:lang w:eastAsia="en-US"/>
              </w:rPr>
              <w:t>Proof</w:t>
            </w:r>
          </w:p>
        </w:tc>
      </w:tr>
      <w:tr w:rsidR="00167A02" w:rsidRPr="00796EAD" w:rsidTr="00167A02">
        <w:tc>
          <w:tcPr>
            <w:tcW w:w="595" w:type="dxa"/>
            <w:tcBorders>
              <w:top w:val="single" w:sz="12" w:space="0" w:color="auto"/>
              <w:bottom w:val="single" w:sz="2" w:space="0" w:color="auto"/>
            </w:tcBorders>
          </w:tcPr>
          <w:p w:rsidR="00167A02" w:rsidRPr="00796EAD" w:rsidRDefault="00167A02" w:rsidP="00167A02">
            <w:pPr>
              <w:pStyle w:val="Stext1"/>
              <w:numPr>
                <w:ilvl w:val="0"/>
                <w:numId w:val="26"/>
              </w:numPr>
              <w:rPr>
                <w:lang w:eastAsia="en-US"/>
              </w:rPr>
            </w:pPr>
          </w:p>
        </w:tc>
        <w:tc>
          <w:tcPr>
            <w:tcW w:w="5075" w:type="dxa"/>
            <w:tcBorders>
              <w:top w:val="single" w:sz="12" w:space="0" w:color="auto"/>
              <w:bottom w:val="single" w:sz="2" w:space="0" w:color="auto"/>
            </w:tcBorders>
          </w:tcPr>
          <w:p w:rsidR="00167A02" w:rsidRPr="00796EAD" w:rsidRDefault="00167A02" w:rsidP="003D150E">
            <w:pPr>
              <w:pStyle w:val="Stext1"/>
              <w:ind w:left="0"/>
              <w:rPr>
                <w:lang w:eastAsia="en-US"/>
              </w:rPr>
            </w:pPr>
            <w:r w:rsidRPr="00F74127">
              <w:rPr>
                <w:lang w:eastAsia="en-US"/>
              </w:rPr>
              <w:t xml:space="preserve">Within the period of 5 years preceding the date of Public Invitation, counting as of the day of publishing of the Public Invitation, </w:t>
            </w:r>
            <w:r w:rsidR="003D150E">
              <w:rPr>
                <w:lang w:eastAsia="en-US"/>
              </w:rPr>
              <w:t>a</w:t>
            </w:r>
            <w:r w:rsidR="003D150E" w:rsidRPr="00F74127">
              <w:rPr>
                <w:lang w:eastAsia="en-US"/>
              </w:rPr>
              <w:t xml:space="preserve"> </w:t>
            </w:r>
            <w:r w:rsidR="003D150E">
              <w:rPr>
                <w:lang w:eastAsia="en-US"/>
              </w:rPr>
              <w:t>b</w:t>
            </w:r>
            <w:r w:rsidRPr="00F74127">
              <w:rPr>
                <w:lang w:eastAsia="en-US"/>
              </w:rPr>
              <w:t xml:space="preserve">idder </w:t>
            </w:r>
            <w:r w:rsidR="00023C93">
              <w:rPr>
                <w:lang w:eastAsia="en-US"/>
              </w:rPr>
              <w:t xml:space="preserve">has </w:t>
            </w:r>
            <w:r w:rsidRPr="00F74127">
              <w:rPr>
                <w:lang w:eastAsia="en-US"/>
              </w:rPr>
              <w:t>had experience in: (i) construction of at least 2 underground public garages, having not less than 300 parking places per garage</w:t>
            </w:r>
            <w:r>
              <w:rPr>
                <w:lang w:eastAsia="en-US"/>
              </w:rPr>
              <w:t>;</w:t>
            </w:r>
            <w:r w:rsidRPr="00F74127">
              <w:rPr>
                <w:lang w:eastAsia="en-US"/>
              </w:rPr>
              <w:t xml:space="preserve"> and </w:t>
            </w:r>
            <w:r w:rsidRPr="00796EAD">
              <w:rPr>
                <w:lang w:eastAsia="en-US"/>
              </w:rPr>
              <w:t>(ii) operation of at least 3 garages, having not less than 200 parking places per each garage.</w:t>
            </w:r>
            <w:r w:rsidR="00FF2E94">
              <w:rPr>
                <w:lang w:eastAsia="en-US"/>
              </w:rPr>
              <w:t xml:space="preserve"> </w:t>
            </w:r>
            <w:r w:rsidR="00FF2E94">
              <w:t xml:space="preserve">In case of a </w:t>
            </w:r>
            <w:r w:rsidR="00FF2E94" w:rsidRPr="009D2730">
              <w:rPr>
                <w:u w:val="single"/>
              </w:rPr>
              <w:t>consortium</w:t>
            </w:r>
            <w:r w:rsidR="00FF2E94">
              <w:t>, one consortium's member must independently fulfil the requirement under sub-point (ii) above requiring experience in operation of at least 3 garages, having not less than 200 parking places each.</w:t>
            </w:r>
            <w:r w:rsidR="004F514F">
              <w:t xml:space="preserve"> Such member of a consortium will be nominated as the leader of a consortium</w:t>
            </w:r>
            <w:r w:rsidR="005F7DAB">
              <w:t xml:space="preserve"> in a consortium agreement</w:t>
            </w:r>
            <w:r w:rsidR="004F514F">
              <w:t>.</w:t>
            </w:r>
          </w:p>
        </w:tc>
        <w:tc>
          <w:tcPr>
            <w:tcW w:w="7655" w:type="dxa"/>
            <w:tcBorders>
              <w:top w:val="single" w:sz="12" w:space="0" w:color="auto"/>
              <w:bottom w:val="single" w:sz="2" w:space="0" w:color="auto"/>
            </w:tcBorders>
          </w:tcPr>
          <w:p w:rsidR="00722FB3" w:rsidRDefault="00167A02" w:rsidP="00AA0371">
            <w:pPr>
              <w:pStyle w:val="Stext1"/>
              <w:ind w:left="0"/>
              <w:rPr>
                <w:lang w:eastAsia="en-US"/>
              </w:rPr>
            </w:pPr>
            <w:r>
              <w:rPr>
                <w:lang w:eastAsia="en-US"/>
              </w:rPr>
              <w:t xml:space="preserve">Copy of the agreement based on which </w:t>
            </w:r>
            <w:r w:rsidR="003D150E">
              <w:rPr>
                <w:lang w:eastAsia="en-US"/>
              </w:rPr>
              <w:t>a b</w:t>
            </w:r>
            <w:r>
              <w:rPr>
                <w:lang w:eastAsia="en-US"/>
              </w:rPr>
              <w:t xml:space="preserve">idder i.e. member of </w:t>
            </w:r>
            <w:r w:rsidR="00FF2E94">
              <w:rPr>
                <w:lang w:eastAsia="en-US"/>
              </w:rPr>
              <w:t>a c</w:t>
            </w:r>
            <w:r>
              <w:rPr>
                <w:lang w:eastAsia="en-US"/>
              </w:rPr>
              <w:t>onsortium has been engaged for (i)</w:t>
            </w:r>
            <w:r w:rsidRPr="00F74127">
              <w:rPr>
                <w:lang w:eastAsia="en-US"/>
              </w:rPr>
              <w:t xml:space="preserve"> construction of at least 2 underground public garages, having not less than 300 parking places per garage</w:t>
            </w:r>
            <w:r>
              <w:rPr>
                <w:lang w:eastAsia="en-US"/>
              </w:rPr>
              <w:t xml:space="preserve">; and for (ii) </w:t>
            </w:r>
            <w:r w:rsidRPr="00796EAD">
              <w:rPr>
                <w:lang w:eastAsia="en-US"/>
              </w:rPr>
              <w:t>operation of at least 3 garages, having not less than 200 parking places per each garage</w:t>
            </w:r>
            <w:r>
              <w:rPr>
                <w:lang w:eastAsia="en-US"/>
              </w:rPr>
              <w:t xml:space="preserve">. </w:t>
            </w:r>
          </w:p>
          <w:p w:rsidR="00722FB3" w:rsidRDefault="00722FB3" w:rsidP="00722FB3">
            <w:pPr>
              <w:pStyle w:val="Stext1"/>
              <w:ind w:left="0"/>
              <w:rPr>
                <w:lang w:eastAsia="en-US"/>
              </w:rPr>
            </w:pPr>
            <w:r>
              <w:rPr>
                <w:lang w:eastAsia="en-US"/>
              </w:rPr>
              <w:t>Sensitive details of these agreements may be blacked-out. However, the copy must disclose and make clearly visible that the projects relate to a specific number of garages and parking places as requested under this point 1).</w:t>
            </w:r>
          </w:p>
          <w:p w:rsidR="00722FB3" w:rsidRDefault="00722FB3" w:rsidP="00AA0371">
            <w:pPr>
              <w:pStyle w:val="Stext1"/>
              <w:ind w:left="0"/>
              <w:rPr>
                <w:lang w:eastAsia="en-US"/>
              </w:rPr>
            </w:pPr>
            <w:r>
              <w:rPr>
                <w:lang w:eastAsia="en-US"/>
              </w:rPr>
              <w:t xml:space="preserve">For the purposes of fulfilment of requirement set under point 1), </w:t>
            </w:r>
            <w:r w:rsidR="00FF2E94">
              <w:rPr>
                <w:lang w:eastAsia="en-US"/>
              </w:rPr>
              <w:t>a b</w:t>
            </w:r>
            <w:r>
              <w:rPr>
                <w:lang w:eastAsia="en-US"/>
              </w:rPr>
              <w:t>idder</w:t>
            </w:r>
            <w:r w:rsidR="00FF2E94">
              <w:rPr>
                <w:lang w:eastAsia="en-US"/>
              </w:rPr>
              <w:t xml:space="preserve"> i.e. member of a consortium</w:t>
            </w:r>
            <w:r>
              <w:rPr>
                <w:lang w:eastAsia="en-US"/>
              </w:rPr>
              <w:t xml:space="preserve"> may use projects implemented and the agreements concluded by their affiliates. Affiliates will be considered as, in respect of </w:t>
            </w:r>
            <w:r w:rsidR="002B1B8A">
              <w:rPr>
                <w:lang w:eastAsia="en-US"/>
              </w:rPr>
              <w:t>a</w:t>
            </w:r>
            <w:r w:rsidR="002B1B8A" w:rsidRPr="00F27C8D">
              <w:rPr>
                <w:lang w:eastAsia="en-US"/>
              </w:rPr>
              <w:t xml:space="preserve"> </w:t>
            </w:r>
            <w:r w:rsidR="002B1B8A">
              <w:rPr>
                <w:lang w:eastAsia="en-US"/>
              </w:rPr>
              <w:t>b</w:t>
            </w:r>
            <w:r>
              <w:rPr>
                <w:lang w:eastAsia="en-US"/>
              </w:rPr>
              <w:t>idder</w:t>
            </w:r>
            <w:r w:rsidR="00FF2E94">
              <w:rPr>
                <w:lang w:eastAsia="en-US"/>
              </w:rPr>
              <w:t xml:space="preserve"> i.e. member of a consortium</w:t>
            </w:r>
            <w:r w:rsidRPr="00F27C8D">
              <w:rPr>
                <w:lang w:eastAsia="en-US"/>
              </w:rPr>
              <w:t xml:space="preserve">: (A) a </w:t>
            </w:r>
            <w:r>
              <w:rPr>
                <w:lang w:eastAsia="en-US"/>
              </w:rPr>
              <w:t>person/</w:t>
            </w:r>
            <w:r w:rsidRPr="00F27C8D">
              <w:rPr>
                <w:lang w:eastAsia="en-US"/>
              </w:rPr>
              <w:t>company</w:t>
            </w:r>
            <w:r>
              <w:rPr>
                <w:lang w:eastAsia="en-US"/>
              </w:rPr>
              <w:t xml:space="preserve"> </w:t>
            </w:r>
            <w:r w:rsidRPr="00F27C8D">
              <w:rPr>
                <w:lang w:eastAsia="en-US"/>
              </w:rPr>
              <w:t>controlling</w:t>
            </w:r>
            <w:r>
              <w:rPr>
                <w:lang w:eastAsia="en-US"/>
              </w:rPr>
              <w:t xml:space="preserve"> </w:t>
            </w:r>
            <w:r w:rsidR="002B1B8A">
              <w:rPr>
                <w:lang w:eastAsia="en-US"/>
              </w:rPr>
              <w:t>a</w:t>
            </w:r>
            <w:r>
              <w:rPr>
                <w:lang w:eastAsia="en-US"/>
              </w:rPr>
              <w:t xml:space="preserve"> </w:t>
            </w:r>
            <w:r w:rsidR="002B1B8A">
              <w:rPr>
                <w:lang w:eastAsia="en-US"/>
              </w:rPr>
              <w:t>b</w:t>
            </w:r>
            <w:r>
              <w:rPr>
                <w:lang w:eastAsia="en-US"/>
              </w:rPr>
              <w:t>idder</w:t>
            </w:r>
            <w:r w:rsidR="00FF2E94">
              <w:rPr>
                <w:lang w:eastAsia="en-US"/>
              </w:rPr>
              <w:t xml:space="preserve"> i.e. member of a consortium</w:t>
            </w:r>
            <w:r w:rsidRPr="00F27C8D">
              <w:rPr>
                <w:lang w:eastAsia="en-US"/>
              </w:rPr>
              <w:t xml:space="preserve">; or (B) a </w:t>
            </w:r>
            <w:r>
              <w:rPr>
                <w:lang w:eastAsia="en-US"/>
              </w:rPr>
              <w:t>person/</w:t>
            </w:r>
            <w:r w:rsidRPr="00F27C8D">
              <w:rPr>
                <w:lang w:eastAsia="en-US"/>
              </w:rPr>
              <w:t>company</w:t>
            </w:r>
            <w:r>
              <w:rPr>
                <w:lang w:eastAsia="en-US"/>
              </w:rPr>
              <w:t xml:space="preserve"> controlled</w:t>
            </w:r>
            <w:r w:rsidRPr="00F27C8D">
              <w:rPr>
                <w:lang w:eastAsia="en-US"/>
              </w:rPr>
              <w:t xml:space="preserve"> </w:t>
            </w:r>
            <w:r>
              <w:rPr>
                <w:lang w:eastAsia="en-US"/>
              </w:rPr>
              <w:t xml:space="preserve">by </w:t>
            </w:r>
            <w:r w:rsidR="002B1B8A">
              <w:rPr>
                <w:lang w:eastAsia="en-US"/>
              </w:rPr>
              <w:t>a b</w:t>
            </w:r>
            <w:r>
              <w:rPr>
                <w:lang w:eastAsia="en-US"/>
              </w:rPr>
              <w:t>idder</w:t>
            </w:r>
            <w:r w:rsidR="00FF2E94">
              <w:rPr>
                <w:lang w:eastAsia="en-US"/>
              </w:rPr>
              <w:t xml:space="preserve"> i.e. member of a consortium</w:t>
            </w:r>
            <w:r w:rsidRPr="00F27C8D">
              <w:rPr>
                <w:lang w:eastAsia="en-US"/>
              </w:rPr>
              <w:t xml:space="preserve">; or (C) any </w:t>
            </w:r>
            <w:r>
              <w:rPr>
                <w:lang w:eastAsia="en-US"/>
              </w:rPr>
              <w:t xml:space="preserve">person/company under common control with </w:t>
            </w:r>
            <w:r w:rsidR="002B1B8A">
              <w:rPr>
                <w:lang w:eastAsia="en-US"/>
              </w:rPr>
              <w:t>a b</w:t>
            </w:r>
            <w:r>
              <w:rPr>
                <w:lang w:eastAsia="en-US"/>
              </w:rPr>
              <w:t>idder</w:t>
            </w:r>
            <w:r w:rsidR="00FF2E94">
              <w:rPr>
                <w:lang w:eastAsia="en-US"/>
              </w:rPr>
              <w:t xml:space="preserve"> i.e. member of a consortium</w:t>
            </w:r>
            <w:r>
              <w:rPr>
                <w:lang w:eastAsia="en-US"/>
              </w:rPr>
              <w:t>. Control for the purposes of this paragraph shall mean more than 50% of the ownership interest and voting rights</w:t>
            </w:r>
            <w:r w:rsidR="003D150E">
              <w:rPr>
                <w:lang w:eastAsia="en-US"/>
              </w:rPr>
              <w:t xml:space="preserve"> in a company</w:t>
            </w:r>
            <w:r>
              <w:rPr>
                <w:lang w:eastAsia="en-US"/>
              </w:rPr>
              <w:t>.</w:t>
            </w:r>
          </w:p>
          <w:p w:rsidR="00167A02" w:rsidRPr="00F74127" w:rsidRDefault="00167A02" w:rsidP="002B1B8A">
            <w:pPr>
              <w:pStyle w:val="Stext1"/>
              <w:ind w:left="0"/>
              <w:rPr>
                <w:lang w:eastAsia="en-US"/>
              </w:rPr>
            </w:pPr>
            <w:r>
              <w:rPr>
                <w:lang w:eastAsia="en-US"/>
              </w:rPr>
              <w:t xml:space="preserve">Alternatively, </w:t>
            </w:r>
            <w:r w:rsidR="002B1B8A">
              <w:rPr>
                <w:lang w:eastAsia="en-US"/>
              </w:rPr>
              <w:t>a</w:t>
            </w:r>
            <w:r>
              <w:rPr>
                <w:lang w:eastAsia="en-US"/>
              </w:rPr>
              <w:t xml:space="preserve"> </w:t>
            </w:r>
            <w:r w:rsidR="002B1B8A">
              <w:rPr>
                <w:lang w:eastAsia="en-US"/>
              </w:rPr>
              <w:t>b</w:t>
            </w:r>
            <w:r>
              <w:rPr>
                <w:lang w:eastAsia="en-US"/>
              </w:rPr>
              <w:t>idder may provide a duly signed and certified statement, issued under material and criminal liability, by way of which it confirms that it has been engaged for services under points (i) and (ii) above, along with the details on such engagement (including, but not limited to information on the engagement and the project, country of performance of services, information on employer, total value of services, year of engagement/completion of services</w:t>
            </w:r>
            <w:r w:rsidR="00911CA4">
              <w:rPr>
                <w:lang w:eastAsia="en-US"/>
              </w:rPr>
              <w:t xml:space="preserve"> </w:t>
            </w:r>
            <w:r w:rsidR="00D64FB9">
              <w:rPr>
                <w:lang w:eastAsia="en-US"/>
              </w:rPr>
              <w:t>(</w:t>
            </w:r>
            <w:r w:rsidR="00911CA4" w:rsidRPr="00911CA4">
              <w:rPr>
                <w:lang w:eastAsia="en-US"/>
              </w:rPr>
              <w:t>number of years in</w:t>
            </w:r>
            <w:r w:rsidR="00911CA4">
              <w:rPr>
                <w:lang w:eastAsia="en-US"/>
              </w:rPr>
              <w:t xml:space="preserve"> operation</w:t>
            </w:r>
            <w:r w:rsidR="00D64FB9">
              <w:rPr>
                <w:lang w:eastAsia="en-US"/>
              </w:rPr>
              <w:t>)</w:t>
            </w:r>
            <w:r w:rsidR="00911CA4">
              <w:rPr>
                <w:lang w:eastAsia="en-US"/>
              </w:rPr>
              <w:t xml:space="preserve">, </w:t>
            </w:r>
            <w:r w:rsidR="00227EA5">
              <w:rPr>
                <w:lang w:eastAsia="en-US"/>
              </w:rPr>
              <w:t xml:space="preserve">details on role and </w:t>
            </w:r>
            <w:r w:rsidR="00911CA4">
              <w:rPr>
                <w:lang w:eastAsia="en-US"/>
              </w:rPr>
              <w:t>involvement of</w:t>
            </w:r>
            <w:r w:rsidR="00911CA4" w:rsidRPr="00911CA4">
              <w:rPr>
                <w:lang w:eastAsia="en-US"/>
              </w:rPr>
              <w:t xml:space="preserve"> </w:t>
            </w:r>
            <w:r w:rsidR="00911CA4">
              <w:rPr>
                <w:lang w:eastAsia="en-US"/>
              </w:rPr>
              <w:t>a bidder i.e. c</w:t>
            </w:r>
            <w:r w:rsidR="00911CA4" w:rsidRPr="00911CA4">
              <w:rPr>
                <w:lang w:eastAsia="en-US"/>
              </w:rPr>
              <w:t>o</w:t>
            </w:r>
            <w:r w:rsidR="00D64FB9">
              <w:rPr>
                <w:lang w:eastAsia="en-US"/>
              </w:rPr>
              <w:t>nsortium member in the garages'</w:t>
            </w:r>
            <w:r w:rsidR="00911CA4" w:rsidRPr="00911CA4">
              <w:rPr>
                <w:lang w:eastAsia="en-US"/>
              </w:rPr>
              <w:t xml:space="preserve"> operation</w:t>
            </w:r>
            <w:r w:rsidR="00D64FB9">
              <w:rPr>
                <w:lang w:eastAsia="en-US"/>
              </w:rPr>
              <w:t>, capacity of the garages</w:t>
            </w:r>
            <w:r>
              <w:rPr>
                <w:lang w:eastAsia="en-US"/>
              </w:rPr>
              <w:t xml:space="preserve"> etc.).</w:t>
            </w:r>
          </w:p>
        </w:tc>
      </w:tr>
      <w:tr w:rsidR="00167A02" w:rsidRPr="00796EAD" w:rsidTr="00167A02">
        <w:tc>
          <w:tcPr>
            <w:tcW w:w="595" w:type="dxa"/>
            <w:tcBorders>
              <w:top w:val="single" w:sz="2" w:space="0" w:color="auto"/>
              <w:bottom w:val="single" w:sz="2" w:space="0" w:color="auto"/>
            </w:tcBorders>
          </w:tcPr>
          <w:p w:rsidR="00167A02" w:rsidRPr="00796EAD" w:rsidRDefault="00167A02" w:rsidP="00167A02">
            <w:pPr>
              <w:pStyle w:val="Stext1"/>
              <w:numPr>
                <w:ilvl w:val="0"/>
                <w:numId w:val="26"/>
              </w:numPr>
              <w:rPr>
                <w:lang w:eastAsia="en-US"/>
              </w:rPr>
            </w:pPr>
          </w:p>
        </w:tc>
        <w:tc>
          <w:tcPr>
            <w:tcW w:w="5075" w:type="dxa"/>
            <w:tcBorders>
              <w:top w:val="single" w:sz="2" w:space="0" w:color="auto"/>
              <w:bottom w:val="single" w:sz="2" w:space="0" w:color="auto"/>
            </w:tcBorders>
          </w:tcPr>
          <w:p w:rsidR="00167A02" w:rsidRPr="00F74127" w:rsidRDefault="00167A02" w:rsidP="00442EC0">
            <w:pPr>
              <w:pStyle w:val="Stext1"/>
              <w:ind w:left="0"/>
              <w:rPr>
                <w:lang w:eastAsia="en-US"/>
              </w:rPr>
            </w:pPr>
            <w:r w:rsidRPr="00F74127">
              <w:rPr>
                <w:lang w:eastAsia="en-US"/>
              </w:rPr>
              <w:t xml:space="preserve">At least EUR 15 million of annual </w:t>
            </w:r>
            <w:r w:rsidR="005851F0">
              <w:rPr>
                <w:lang w:eastAsia="en-US"/>
              </w:rPr>
              <w:t>revenues</w:t>
            </w:r>
            <w:r w:rsidR="005851F0" w:rsidRPr="00F74127">
              <w:rPr>
                <w:lang w:eastAsia="en-US"/>
              </w:rPr>
              <w:t xml:space="preserve"> </w:t>
            </w:r>
            <w:r w:rsidRPr="00F74127">
              <w:rPr>
                <w:lang w:eastAsia="en-US"/>
              </w:rPr>
              <w:t xml:space="preserve">in each of 2 business years preceding the </w:t>
            </w:r>
            <w:r>
              <w:rPr>
                <w:lang w:eastAsia="en-US"/>
              </w:rPr>
              <w:t>year</w:t>
            </w:r>
            <w:r w:rsidRPr="00F74127">
              <w:rPr>
                <w:lang w:eastAsia="en-US"/>
              </w:rPr>
              <w:t xml:space="preserve"> of publishing of the Public Invitation.</w:t>
            </w:r>
            <w:r>
              <w:rPr>
                <w:lang w:eastAsia="en-US"/>
              </w:rPr>
              <w:t xml:space="preserve"> The annual </w:t>
            </w:r>
            <w:r w:rsidR="005851F0">
              <w:rPr>
                <w:lang w:eastAsia="en-US"/>
              </w:rPr>
              <w:t xml:space="preserve">revenues </w:t>
            </w:r>
            <w:r>
              <w:rPr>
                <w:lang w:eastAsia="en-US"/>
              </w:rPr>
              <w:t xml:space="preserve">for the purposes of this requirement shall be considered as the </w:t>
            </w:r>
            <w:r w:rsidR="005851F0">
              <w:rPr>
                <w:lang w:eastAsia="en-US"/>
              </w:rPr>
              <w:t xml:space="preserve">revenues </w:t>
            </w:r>
            <w:r>
              <w:rPr>
                <w:lang w:eastAsia="en-US"/>
              </w:rPr>
              <w:t xml:space="preserve">expressed in (audited) financial statements of </w:t>
            </w:r>
            <w:r w:rsidR="003D150E">
              <w:rPr>
                <w:lang w:eastAsia="en-US"/>
              </w:rPr>
              <w:t>a b</w:t>
            </w:r>
            <w:r>
              <w:rPr>
                <w:lang w:eastAsia="en-US"/>
              </w:rPr>
              <w:t>idder</w:t>
            </w:r>
            <w:r w:rsidR="000A0368">
              <w:rPr>
                <w:lang w:eastAsia="en-US"/>
              </w:rPr>
              <w:t xml:space="preserve"> for relevant years</w:t>
            </w:r>
            <w:r>
              <w:rPr>
                <w:lang w:eastAsia="en-US"/>
              </w:rPr>
              <w:t xml:space="preserve">. </w:t>
            </w:r>
            <w:r w:rsidR="00FF2E94">
              <w:t xml:space="preserve">In case of a </w:t>
            </w:r>
            <w:r w:rsidR="00FF2E94" w:rsidRPr="009D2730">
              <w:rPr>
                <w:u w:val="single"/>
              </w:rPr>
              <w:t>consortium</w:t>
            </w:r>
            <w:r w:rsidR="00FF2E94">
              <w:t xml:space="preserve">, maximum three (3) members of </w:t>
            </w:r>
            <w:r w:rsidR="00442EC0">
              <w:t>a</w:t>
            </w:r>
            <w:r w:rsidR="00FF2E94">
              <w:t xml:space="preserve"> consortium must jointly fulfil this requirement.</w:t>
            </w:r>
          </w:p>
        </w:tc>
        <w:tc>
          <w:tcPr>
            <w:tcW w:w="7655" w:type="dxa"/>
            <w:tcBorders>
              <w:top w:val="single" w:sz="2" w:space="0" w:color="auto"/>
              <w:bottom w:val="single" w:sz="2" w:space="0" w:color="auto"/>
            </w:tcBorders>
          </w:tcPr>
          <w:p w:rsidR="00167A02" w:rsidRPr="00F74127" w:rsidRDefault="00167A02" w:rsidP="003D150E">
            <w:pPr>
              <w:pStyle w:val="Stext1"/>
              <w:ind w:left="0"/>
              <w:rPr>
                <w:lang w:eastAsia="en-US"/>
              </w:rPr>
            </w:pPr>
            <w:r>
              <w:rPr>
                <w:lang w:eastAsia="en-US"/>
              </w:rPr>
              <w:t xml:space="preserve">(Audited) financial statements of </w:t>
            </w:r>
            <w:r w:rsidR="003D150E">
              <w:rPr>
                <w:lang w:eastAsia="en-US"/>
              </w:rPr>
              <w:t>a b</w:t>
            </w:r>
            <w:r>
              <w:rPr>
                <w:lang w:eastAsia="en-US"/>
              </w:rPr>
              <w:t xml:space="preserve">idder, submitted as part of Supporting Documentation </w:t>
            </w:r>
            <w:r w:rsidR="003D150E">
              <w:rPr>
                <w:lang w:eastAsia="en-US"/>
              </w:rPr>
              <w:t>of a b</w:t>
            </w:r>
            <w:r>
              <w:rPr>
                <w:lang w:eastAsia="en-US"/>
              </w:rPr>
              <w:t>id</w:t>
            </w:r>
            <w:r w:rsidR="003D150E">
              <w:rPr>
                <w:lang w:eastAsia="en-US"/>
              </w:rPr>
              <w:t>, as prescribed by the Tender Documentation</w:t>
            </w:r>
            <w:r>
              <w:rPr>
                <w:lang w:eastAsia="en-US"/>
              </w:rPr>
              <w:t>.</w:t>
            </w:r>
          </w:p>
        </w:tc>
      </w:tr>
    </w:tbl>
    <w:p w:rsidR="00167A02" w:rsidRPr="00916D06" w:rsidRDefault="00167A02" w:rsidP="00167A02">
      <w:pPr>
        <w:rPr>
          <w:lang w:eastAsia="zh-TW"/>
        </w:rPr>
      </w:pPr>
    </w:p>
    <w:p w:rsidR="00167A02" w:rsidRDefault="00167A02" w:rsidP="00167A02">
      <w:pPr>
        <w:rPr>
          <w:lang w:val="en-GB" w:eastAsia="zh-TW"/>
        </w:rPr>
      </w:pPr>
    </w:p>
    <w:p w:rsidR="00167A02" w:rsidRDefault="00167A02" w:rsidP="00167A02">
      <w:pPr>
        <w:pStyle w:val="Sheading1"/>
        <w:rPr>
          <w:lang w:eastAsia="zh-TW"/>
        </w:rPr>
      </w:pPr>
      <w:r>
        <w:rPr>
          <w:lang w:eastAsia="zh-TW"/>
        </w:rPr>
        <w:t>Additional notes on submission of proofs</w:t>
      </w:r>
    </w:p>
    <w:p w:rsidR="00167A02" w:rsidRDefault="00167A02" w:rsidP="00167A02">
      <w:pPr>
        <w:pStyle w:val="Stext2"/>
        <w:numPr>
          <w:ilvl w:val="0"/>
          <w:numId w:val="29"/>
        </w:numPr>
        <w:rPr>
          <w:lang w:eastAsia="en-US"/>
        </w:rPr>
      </w:pPr>
      <w:r>
        <w:t xml:space="preserve">Domestic natural persons </w:t>
      </w:r>
      <w:r w:rsidR="00D751A2">
        <w:t xml:space="preserve">(i.e. entrepreneurs) </w:t>
      </w:r>
      <w:r>
        <w:t xml:space="preserve">participating in the Concession Procedure as the </w:t>
      </w:r>
      <w:r w:rsidR="00D751A2">
        <w:t>b</w:t>
      </w:r>
      <w:r>
        <w:t xml:space="preserve">idders  should submit only (i) </w:t>
      </w:r>
      <w:r w:rsidRPr="0049329E">
        <w:t>Excerpt from the criminal record i.e. competent POLICE DEPARTMENT OF THE MINSITRY OF INTERIOR (competency determined in line with the place of birth or place of residence), confirming that representative has not been convicted for any criminal act as a member to the organised criminal group, have not been convicted for white collar crimes, criminal acts against environmental protection, criminal act of receiving or giving bribes or the criminal act of fraud</w:t>
      </w:r>
      <w:r>
        <w:t xml:space="preserve">; (ii) </w:t>
      </w:r>
      <w:r>
        <w:rPr>
          <w:lang w:eastAsia="en-US"/>
        </w:rPr>
        <w:t>Certificate of the Tax Administration of the Ministry of Finance of Republic of Serbia (for taxes, contributions and other public fees); and (iii) Certificate of the competent local self-governance unit – city/municipality (for local public fees)</w:t>
      </w:r>
      <w:r>
        <w:t>.</w:t>
      </w:r>
    </w:p>
    <w:p w:rsidR="00167A02" w:rsidRDefault="00167A02" w:rsidP="00167A02">
      <w:pPr>
        <w:pStyle w:val="Stext2"/>
        <w:numPr>
          <w:ilvl w:val="0"/>
          <w:numId w:val="29"/>
        </w:numPr>
        <w:rPr>
          <w:lang w:eastAsia="en-US"/>
        </w:rPr>
      </w:pPr>
      <w:r>
        <w:t xml:space="preserve">Foreign natural persons participating in the Concession Procedure as the </w:t>
      </w:r>
      <w:r w:rsidR="00D751A2">
        <w:t>b</w:t>
      </w:r>
      <w:r>
        <w:t xml:space="preserve">idders should submit corresponding equivalent proofs to those enlisted under point 1. </w:t>
      </w:r>
      <w:r w:rsidR="00442EC0">
        <w:t xml:space="preserve">of this Section 3 </w:t>
      </w:r>
      <w:r>
        <w:t>above, that are available under the legal system of the country of residence.</w:t>
      </w:r>
    </w:p>
    <w:p w:rsidR="00167A02" w:rsidRDefault="00167A02" w:rsidP="00167A02">
      <w:pPr>
        <w:pStyle w:val="Stext2"/>
        <w:numPr>
          <w:ilvl w:val="0"/>
          <w:numId w:val="29"/>
        </w:numPr>
      </w:pPr>
      <w:r>
        <w:t>All proofs must be submitted in a form of simple, uncertified copies, unless expressly provided different herein. The City may, prior to rendering of the</w:t>
      </w:r>
      <w:r w:rsidR="00442EC0">
        <w:t xml:space="preserve"> decision on selection of the most favourable bid</w:t>
      </w:r>
      <w:r>
        <w:t xml:space="preserve">, request that the Bidder, whose Bid was evaluated as the most favourable one, delivers to the City originals or certified copies of all or some of the proofs from </w:t>
      </w:r>
      <w:r w:rsidR="00442EC0">
        <w:t xml:space="preserve">Section 1 </w:t>
      </w:r>
      <w:r>
        <w:t>above.</w:t>
      </w:r>
    </w:p>
    <w:p w:rsidR="00167A02" w:rsidRDefault="00167A02" w:rsidP="00167A02">
      <w:pPr>
        <w:pStyle w:val="Stext2"/>
        <w:numPr>
          <w:ilvl w:val="0"/>
          <w:numId w:val="29"/>
        </w:numPr>
      </w:pPr>
      <w:r>
        <w:t>Should the Bidder fail to deliver requested originals/certified copies from the previous paragraph, within prescribed deadline which shall not be shorter than five (5) days, the City may reject its Bid as unacceptable.</w:t>
      </w:r>
    </w:p>
    <w:p w:rsidR="00167A02" w:rsidRDefault="00167A02" w:rsidP="00167A02">
      <w:pPr>
        <w:pStyle w:val="Stext2"/>
        <w:numPr>
          <w:ilvl w:val="0"/>
          <w:numId w:val="29"/>
        </w:numPr>
      </w:pPr>
      <w:r>
        <w:t xml:space="preserve">The Bidder registered in the Register of bidders maintained by the Serbian Business Registers Agency is not required to prove compliance with the mandatory participation requirements listed under points 1) to 4) in the table under Section 1 above. Instead, it is preferable that such Bidder indicates that it is registered with the Register of bidders in a separate document and that compliance with requirements from points 1) to 4) in the table above may be confirmed by search of the Register of bidders. </w:t>
      </w:r>
    </w:p>
    <w:p w:rsidR="00167A02" w:rsidRDefault="00167A02" w:rsidP="00167A02">
      <w:pPr>
        <w:pStyle w:val="Stext2"/>
        <w:numPr>
          <w:ilvl w:val="0"/>
          <w:numId w:val="29"/>
        </w:numPr>
      </w:pPr>
      <w:r>
        <w:t xml:space="preserve">In case that any changes relevant to the compliance of conditions for participation set under Section 1 and 2 hereof occur before the City renders the </w:t>
      </w:r>
      <w:r w:rsidR="00442EC0">
        <w:t>decision on selection of most favourable bid</w:t>
      </w:r>
      <w:r>
        <w:t xml:space="preserve"> or </w:t>
      </w:r>
      <w:r w:rsidR="00442EC0">
        <w:t>d</w:t>
      </w:r>
      <w:r>
        <w:t xml:space="preserve">ecision on </w:t>
      </w:r>
      <w:r w:rsidR="00442EC0">
        <w:t>c</w:t>
      </w:r>
      <w:r>
        <w:t>ancellation</w:t>
      </w:r>
      <w:r w:rsidR="00442EC0">
        <w:t xml:space="preserve"> of the Concession Procedure</w:t>
      </w:r>
      <w:r>
        <w:t xml:space="preserve"> i.e. until the moment of conclusion of the </w:t>
      </w:r>
      <w:r w:rsidR="00442EC0">
        <w:t>c</w:t>
      </w:r>
      <w:r>
        <w:t xml:space="preserve">oncession </w:t>
      </w:r>
      <w:r w:rsidR="00442EC0">
        <w:t>a</w:t>
      </w:r>
      <w:r>
        <w:t>greement, the Bidder shall notify the City in writing and deliver pertaining documentation, within five (5) days as of occurrence of such change, at the latest.</w:t>
      </w:r>
    </w:p>
    <w:p w:rsidR="00167A02" w:rsidRDefault="00167A02" w:rsidP="00167A02">
      <w:pPr>
        <w:pStyle w:val="Stext2"/>
        <w:numPr>
          <w:ilvl w:val="0"/>
          <w:numId w:val="29"/>
        </w:numPr>
      </w:pPr>
      <w:r>
        <w:t xml:space="preserve">If </w:t>
      </w:r>
      <w:r w:rsidR="00442EC0">
        <w:t>a b</w:t>
      </w:r>
      <w:r>
        <w:t xml:space="preserve">idder has its seat in a country other than Republic of Serbia, the City is entitled to check if submitted proofs were issued by the competent authorities of the relevant country. </w:t>
      </w:r>
    </w:p>
    <w:p w:rsidR="00167A02" w:rsidRDefault="00167A02" w:rsidP="00167A02">
      <w:pPr>
        <w:pStyle w:val="Stext2"/>
        <w:numPr>
          <w:ilvl w:val="0"/>
          <w:numId w:val="29"/>
        </w:numPr>
      </w:pPr>
      <w:r>
        <w:t xml:space="preserve">In case that </w:t>
      </w:r>
      <w:r w:rsidR="00442EC0">
        <w:t>a b</w:t>
      </w:r>
      <w:r>
        <w:t xml:space="preserve">idder fails to acquire either of the requested proof until the Bids' Submission Deadline, because of inability of the competent authority of the relevant country of origin of </w:t>
      </w:r>
      <w:r w:rsidR="00442EC0">
        <w:t>a b</w:t>
      </w:r>
      <w:r>
        <w:t xml:space="preserve">idder to issue relevant proof until the Bids' Submission Deadline, the City may allow </w:t>
      </w:r>
      <w:r w:rsidR="00442EC0">
        <w:t>a b</w:t>
      </w:r>
      <w:r>
        <w:t xml:space="preserve">idder to submit such proof subsequently, within the appropriate period, provided that </w:t>
      </w:r>
      <w:r w:rsidR="00442EC0">
        <w:t>a b</w:t>
      </w:r>
      <w:r>
        <w:t>idder provides the proof o</w:t>
      </w:r>
      <w:r w:rsidR="00442EC0">
        <w:t>n</w:t>
      </w:r>
      <w:r>
        <w:t xml:space="preserve"> such occasion with</w:t>
      </w:r>
      <w:r w:rsidR="00442EC0">
        <w:t>in</w:t>
      </w:r>
      <w:r>
        <w:t xml:space="preserve"> the </w:t>
      </w:r>
      <w:r w:rsidR="00442EC0">
        <w:t>b</w:t>
      </w:r>
      <w:r>
        <w:t>id.</w:t>
      </w:r>
    </w:p>
    <w:p w:rsidR="00167A02" w:rsidRDefault="00167A02" w:rsidP="00167A02">
      <w:pPr>
        <w:pStyle w:val="Stext2"/>
        <w:numPr>
          <w:ilvl w:val="0"/>
          <w:numId w:val="29"/>
        </w:numPr>
      </w:pPr>
      <w:r>
        <w:t xml:space="preserve">If any of the proofs listed under points 1) to 4) in the table under Section 1 above are not being issued in the country of residence of </w:t>
      </w:r>
      <w:r w:rsidR="00442EC0">
        <w:t>a b</w:t>
      </w:r>
      <w:r>
        <w:t xml:space="preserve">idder, instead of such proof, </w:t>
      </w:r>
      <w:r w:rsidR="00442EC0">
        <w:t>a b</w:t>
      </w:r>
      <w:r>
        <w:t xml:space="preserve">idder may submit its written statement confirming that such document cannot be obtained under the legal system of country of residence of </w:t>
      </w:r>
      <w:r w:rsidR="00442EC0">
        <w:t>a b</w:t>
      </w:r>
      <w:r>
        <w:t>idder and confirming compliance with the relevant requirement</w:t>
      </w:r>
      <w:r w:rsidR="00442EC0">
        <w:t xml:space="preserve"> on which the relevant proof refers to,</w:t>
      </w:r>
      <w:r>
        <w:t xml:space="preserve"> issued under criminal and material liability, certified before the competent certification authority (notary public or court).</w:t>
      </w:r>
    </w:p>
    <w:p w:rsidR="00167A02" w:rsidRPr="009F0A4D" w:rsidRDefault="00167A02" w:rsidP="00167A02">
      <w:pPr>
        <w:pStyle w:val="Stext2"/>
        <w:numPr>
          <w:ilvl w:val="0"/>
          <w:numId w:val="29"/>
        </w:numPr>
      </w:pPr>
      <w:r>
        <w:t xml:space="preserve">Any public document (e.g. any document issued by the state authorities, documents certified before a notary public or a court etc.) issued in a country other than the Republic of Serbia, shall be legalized for its further use in the Republic of Serbia. The applicable legalization process depends on the country of issuance of such public document i.e. if the country is a signatory to the Convention Abolishing the Requirement of Legalization for Foreign Public Documents, executed in Hague on 5 October 1961 and if there is a ratified international agreement on exemption of certain public documents from any kind of legalization executed between that country and the Republic of Serbia (or its predecessors) in place.  Further information can be obtained from the official website of the Ministry of Foreign Affairs of Republic of Serbia at the following link </w:t>
      </w:r>
      <w:hyperlink r:id="rId7" w:history="1">
        <w:r w:rsidRPr="005A4FF9">
          <w:rPr>
            <w:rStyle w:val="Hyperlink"/>
          </w:rPr>
          <w:t>http://www.mfa.gov.rs/en/consular-affairs/legalization</w:t>
        </w:r>
      </w:hyperlink>
      <w:r>
        <w:t>.</w:t>
      </w:r>
    </w:p>
    <w:p w:rsidR="00167A02" w:rsidRPr="007D40ED" w:rsidRDefault="00167A02" w:rsidP="00F22F2B">
      <w:pPr>
        <w:rPr>
          <w:lang w:val="en-GB" w:eastAsia="zh-TW"/>
        </w:rPr>
      </w:pPr>
    </w:p>
    <w:sectPr w:rsidR="00167A02" w:rsidRPr="007D40ED" w:rsidSect="00167A02">
      <w:headerReference w:type="even" r:id="rId8"/>
      <w:headerReference w:type="default" r:id="rId9"/>
      <w:headerReference w:type="first" r:id="rId10"/>
      <w:pgSz w:w="16838" w:h="11906" w:orient="landscape" w:code="9"/>
      <w:pgMar w:top="1134" w:right="1985"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5CF" w:rsidRDefault="001C55CF">
      <w:r>
        <w:separator/>
      </w:r>
    </w:p>
    <w:p w:rsidR="001C55CF" w:rsidRDefault="001C55CF"/>
    <w:p w:rsidR="001C55CF" w:rsidRDefault="001C55CF"/>
    <w:p w:rsidR="001C55CF" w:rsidRDefault="001C55CF"/>
  </w:endnote>
  <w:endnote w:type="continuationSeparator" w:id="0">
    <w:p w:rsidR="001C55CF" w:rsidRDefault="001C55CF">
      <w:r>
        <w:continuationSeparator/>
      </w:r>
    </w:p>
    <w:p w:rsidR="001C55CF" w:rsidRDefault="001C55CF"/>
    <w:p w:rsidR="001C55CF" w:rsidRDefault="001C55CF"/>
    <w:p w:rsidR="001C55CF" w:rsidRDefault="001C5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altName w:val="Arial"/>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5CF" w:rsidRDefault="001C55CF">
      <w:r>
        <w:separator/>
      </w:r>
    </w:p>
  </w:footnote>
  <w:footnote w:type="continuationSeparator" w:id="0">
    <w:p w:rsidR="001C55CF" w:rsidRDefault="001C55CF">
      <w:r>
        <w:continuationSeparator/>
      </w:r>
    </w:p>
  </w:footnote>
  <w:footnote w:type="continuationNotice" w:id="1">
    <w:p w:rsidR="001C55CF" w:rsidRDefault="001C55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35" w:rsidRDefault="001013D6">
    <w:pPr>
      <w:framePr w:wrap="around" w:vAnchor="text" w:hAnchor="margin" w:xAlign="center" w:y="1"/>
    </w:pPr>
    <w:r>
      <w:fldChar w:fldCharType="begin"/>
    </w:r>
    <w:r>
      <w:instrText xml:space="preserve">PAGE  </w:instrText>
    </w:r>
    <w:r>
      <w:fldChar w:fldCharType="separate"/>
    </w:r>
    <w:r w:rsidR="006B2935">
      <w:rPr>
        <w:noProof/>
      </w:rPr>
      <w:t>1</w:t>
    </w:r>
    <w:r>
      <w:rPr>
        <w:noProof/>
      </w:rPr>
      <w:fldChar w:fldCharType="end"/>
    </w:r>
  </w:p>
  <w:p w:rsidR="006B2935" w:rsidRDefault="006B2935"/>
  <w:p w:rsidR="006B2935" w:rsidRDefault="006B2935"/>
  <w:p w:rsidR="006B2935" w:rsidRDefault="006B2935"/>
  <w:p w:rsidR="006B2935" w:rsidRDefault="006B293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2B" w:rsidRDefault="00F22F2B" w:rsidP="00F22F2B">
    <w:pPr>
      <w:pStyle w:val="Snumberofpages"/>
    </w:pPr>
    <w:r>
      <w:t xml:space="preserve">- </w:t>
    </w:r>
    <w:r w:rsidR="001013D6">
      <w:fldChar w:fldCharType="begin"/>
    </w:r>
    <w:r w:rsidR="001013D6">
      <w:instrText xml:space="preserve"> PAGE </w:instrText>
    </w:r>
    <w:r w:rsidR="001013D6">
      <w:fldChar w:fldCharType="separate"/>
    </w:r>
    <w:r w:rsidR="00012E1E">
      <w:rPr>
        <w:noProof/>
      </w:rPr>
      <w:t>2</w:t>
    </w:r>
    <w:r w:rsidR="001013D6">
      <w:rPr>
        <w:noProof/>
      </w:rPr>
      <w:fldChar w:fldCharType="end"/>
    </w:r>
    <w:r>
      <w:t xml:space="preserve"> -</w:t>
    </w:r>
  </w:p>
  <w:p w:rsidR="006B2935" w:rsidRDefault="006B2935" w:rsidP="00D916C9">
    <w:pPr>
      <w:pStyle w:val="Snumberofpages"/>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02" w:rsidRPr="00167A02" w:rsidRDefault="00167A02">
    <w:pPr>
      <w:pStyle w:val="Header"/>
      <w:rPr>
        <w:sz w:val="22"/>
        <w:lang w:val="en-GB"/>
      </w:rPr>
    </w:pPr>
    <w:r w:rsidRPr="00167A02">
      <w:rPr>
        <w:sz w:val="22"/>
        <w:lang w:val="en-GB"/>
      </w:rPr>
      <w:t xml:space="preserve">Appendix 2 to Public Invitation – Requirements </w:t>
    </w:r>
    <w:r>
      <w:rPr>
        <w:sz w:val="22"/>
        <w:lang w:val="en-GB"/>
      </w:rPr>
      <w:t>for participation in Co</w:t>
    </w:r>
    <w:r w:rsidRPr="00167A02">
      <w:rPr>
        <w:sz w:val="22"/>
        <w:lang w:val="en-GB"/>
      </w:rPr>
      <w:t>n</w:t>
    </w:r>
    <w:r>
      <w:rPr>
        <w:sz w:val="22"/>
        <w:lang w:val="en-GB"/>
      </w:rPr>
      <w:t>c</w:t>
    </w:r>
    <w:r w:rsidRPr="00167A02">
      <w:rPr>
        <w:sz w:val="22"/>
        <w:lang w:val="en-GB"/>
      </w:rPr>
      <w:t>ession Procedure and proofs on their fulfilment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2" w15:restartNumberingAfterBreak="0">
    <w:nsid w:val="0F794974"/>
    <w:multiLevelType w:val="hybridMultilevel"/>
    <w:tmpl w:val="5AECA83A"/>
    <w:lvl w:ilvl="0" w:tplc="36966A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B20EE"/>
    <w:multiLevelType w:val="hybridMultilevel"/>
    <w:tmpl w:val="CF34A6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6"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18"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F731391"/>
    <w:multiLevelType w:val="hybridMultilevel"/>
    <w:tmpl w:val="CF34A6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8985CFD"/>
    <w:multiLevelType w:val="hybridMultilevel"/>
    <w:tmpl w:val="94AE5328"/>
    <w:lvl w:ilvl="0" w:tplc="B62EAFEE">
      <w:start w:val="1"/>
      <w:numFmt w:val="decimal"/>
      <w:lvlText w:val="%1."/>
      <w:lvlJc w:val="left"/>
      <w:pPr>
        <w:ind w:left="1070" w:hanging="360"/>
      </w:pPr>
      <w:rPr>
        <w:rFonts w:hint="default"/>
        <w:b w:val="0"/>
        <w:sz w:val="2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3"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BCC1049"/>
    <w:multiLevelType w:val="hybridMultilevel"/>
    <w:tmpl w:val="C54686CA"/>
    <w:lvl w:ilvl="0" w:tplc="36966A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17"/>
  </w:num>
  <w:num w:numId="2">
    <w:abstractNumId w:val="22"/>
  </w:num>
  <w:num w:numId="3">
    <w:abstractNumId w:val="22"/>
  </w:num>
  <w:num w:numId="4">
    <w:abstractNumId w:val="22"/>
  </w:num>
  <w:num w:numId="5">
    <w:abstractNumId w:val="11"/>
  </w:num>
  <w:num w:numId="6">
    <w:abstractNumId w:val="11"/>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8"/>
  </w:num>
  <w:num w:numId="21">
    <w:abstractNumId w:val="20"/>
  </w:num>
  <w:num w:numId="22">
    <w:abstractNumId w:val="14"/>
  </w:num>
  <w:num w:numId="23">
    <w:abstractNumId w:val="25"/>
  </w:num>
  <w:num w:numId="24">
    <w:abstractNumId w:val="23"/>
  </w:num>
  <w:num w:numId="25">
    <w:abstractNumId w:val="19"/>
  </w:num>
  <w:num w:numId="26">
    <w:abstractNumId w:val="13"/>
  </w:num>
  <w:num w:numId="27">
    <w:abstractNumId w:val="24"/>
  </w:num>
  <w:num w:numId="28">
    <w:abstractNumId w:val="12"/>
  </w:num>
  <w:num w:numId="2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A4"/>
    <w:rsid w:val="00006498"/>
    <w:rsid w:val="00007A8D"/>
    <w:rsid w:val="00010300"/>
    <w:rsid w:val="00010B25"/>
    <w:rsid w:val="0001178E"/>
    <w:rsid w:val="000117E7"/>
    <w:rsid w:val="00012E1E"/>
    <w:rsid w:val="0001749C"/>
    <w:rsid w:val="00023C93"/>
    <w:rsid w:val="00027813"/>
    <w:rsid w:val="00032471"/>
    <w:rsid w:val="000348B1"/>
    <w:rsid w:val="00041C17"/>
    <w:rsid w:val="0004482A"/>
    <w:rsid w:val="000471E9"/>
    <w:rsid w:val="00053069"/>
    <w:rsid w:val="000544F5"/>
    <w:rsid w:val="000553E0"/>
    <w:rsid w:val="0006207C"/>
    <w:rsid w:val="00062395"/>
    <w:rsid w:val="00063336"/>
    <w:rsid w:val="0006798A"/>
    <w:rsid w:val="000778BE"/>
    <w:rsid w:val="000779F3"/>
    <w:rsid w:val="00077E88"/>
    <w:rsid w:val="0008720F"/>
    <w:rsid w:val="00092463"/>
    <w:rsid w:val="00094E4A"/>
    <w:rsid w:val="00094EFF"/>
    <w:rsid w:val="000A0368"/>
    <w:rsid w:val="000A5AE4"/>
    <w:rsid w:val="000A5F24"/>
    <w:rsid w:val="000B15A4"/>
    <w:rsid w:val="000B21F3"/>
    <w:rsid w:val="000B4D87"/>
    <w:rsid w:val="000B4E7E"/>
    <w:rsid w:val="000C2733"/>
    <w:rsid w:val="000C5280"/>
    <w:rsid w:val="000D094B"/>
    <w:rsid w:val="000F0E13"/>
    <w:rsid w:val="000F5532"/>
    <w:rsid w:val="001013D6"/>
    <w:rsid w:val="00104BBD"/>
    <w:rsid w:val="00110ABE"/>
    <w:rsid w:val="00110B40"/>
    <w:rsid w:val="0011566F"/>
    <w:rsid w:val="00116249"/>
    <w:rsid w:val="00130ED0"/>
    <w:rsid w:val="0013219A"/>
    <w:rsid w:val="001336D8"/>
    <w:rsid w:val="00136EC2"/>
    <w:rsid w:val="00140DEC"/>
    <w:rsid w:val="001423A5"/>
    <w:rsid w:val="00153A38"/>
    <w:rsid w:val="0015407C"/>
    <w:rsid w:val="00164ADF"/>
    <w:rsid w:val="001677CB"/>
    <w:rsid w:val="00167A02"/>
    <w:rsid w:val="0017337A"/>
    <w:rsid w:val="0017391C"/>
    <w:rsid w:val="00174448"/>
    <w:rsid w:val="00180C6D"/>
    <w:rsid w:val="0018333E"/>
    <w:rsid w:val="00184B81"/>
    <w:rsid w:val="00190066"/>
    <w:rsid w:val="001902C4"/>
    <w:rsid w:val="00191F28"/>
    <w:rsid w:val="001A4527"/>
    <w:rsid w:val="001B6B59"/>
    <w:rsid w:val="001B6CCE"/>
    <w:rsid w:val="001C01FE"/>
    <w:rsid w:val="001C0D68"/>
    <w:rsid w:val="001C423D"/>
    <w:rsid w:val="001C55CF"/>
    <w:rsid w:val="001D08B8"/>
    <w:rsid w:val="001D4588"/>
    <w:rsid w:val="001D7BA0"/>
    <w:rsid w:val="001E25A1"/>
    <w:rsid w:val="001F2A28"/>
    <w:rsid w:val="001F3755"/>
    <w:rsid w:val="001F3B01"/>
    <w:rsid w:val="002007C6"/>
    <w:rsid w:val="0020705B"/>
    <w:rsid w:val="002114ED"/>
    <w:rsid w:val="00213571"/>
    <w:rsid w:val="00213D53"/>
    <w:rsid w:val="002153E4"/>
    <w:rsid w:val="002245BD"/>
    <w:rsid w:val="00227EA5"/>
    <w:rsid w:val="002315D1"/>
    <w:rsid w:val="0023781D"/>
    <w:rsid w:val="00240202"/>
    <w:rsid w:val="00250370"/>
    <w:rsid w:val="002503B7"/>
    <w:rsid w:val="002506A3"/>
    <w:rsid w:val="002507FC"/>
    <w:rsid w:val="00260696"/>
    <w:rsid w:val="00260CBE"/>
    <w:rsid w:val="00260F42"/>
    <w:rsid w:val="00261E8B"/>
    <w:rsid w:val="002633C1"/>
    <w:rsid w:val="00266072"/>
    <w:rsid w:val="002841E2"/>
    <w:rsid w:val="0029052B"/>
    <w:rsid w:val="002A6C50"/>
    <w:rsid w:val="002B1B8A"/>
    <w:rsid w:val="002B2532"/>
    <w:rsid w:val="002B4A24"/>
    <w:rsid w:val="002C2EE5"/>
    <w:rsid w:val="002C3D5F"/>
    <w:rsid w:val="002C43F1"/>
    <w:rsid w:val="002C64D7"/>
    <w:rsid w:val="002D0504"/>
    <w:rsid w:val="002F54E4"/>
    <w:rsid w:val="00301CFA"/>
    <w:rsid w:val="00304992"/>
    <w:rsid w:val="0031058B"/>
    <w:rsid w:val="00310A4C"/>
    <w:rsid w:val="00312492"/>
    <w:rsid w:val="00313E95"/>
    <w:rsid w:val="00322A2A"/>
    <w:rsid w:val="0032373E"/>
    <w:rsid w:val="003245DC"/>
    <w:rsid w:val="003252F4"/>
    <w:rsid w:val="003428A8"/>
    <w:rsid w:val="00344798"/>
    <w:rsid w:val="00345219"/>
    <w:rsid w:val="00347B18"/>
    <w:rsid w:val="0035016B"/>
    <w:rsid w:val="00355D22"/>
    <w:rsid w:val="00357F3F"/>
    <w:rsid w:val="00362434"/>
    <w:rsid w:val="0039606C"/>
    <w:rsid w:val="003A193C"/>
    <w:rsid w:val="003A51A9"/>
    <w:rsid w:val="003A5F8F"/>
    <w:rsid w:val="003A6BE0"/>
    <w:rsid w:val="003B653F"/>
    <w:rsid w:val="003C2732"/>
    <w:rsid w:val="003C789F"/>
    <w:rsid w:val="003D150E"/>
    <w:rsid w:val="003D5B34"/>
    <w:rsid w:val="003E2AB8"/>
    <w:rsid w:val="003F1670"/>
    <w:rsid w:val="003F491A"/>
    <w:rsid w:val="0040168A"/>
    <w:rsid w:val="00404DBF"/>
    <w:rsid w:val="00413A72"/>
    <w:rsid w:val="00415239"/>
    <w:rsid w:val="00417E35"/>
    <w:rsid w:val="0042043C"/>
    <w:rsid w:val="00423B04"/>
    <w:rsid w:val="00423CC0"/>
    <w:rsid w:val="00424236"/>
    <w:rsid w:val="00424FBF"/>
    <w:rsid w:val="00434D0F"/>
    <w:rsid w:val="004365A0"/>
    <w:rsid w:val="00437B3E"/>
    <w:rsid w:val="00442EC0"/>
    <w:rsid w:val="004436EC"/>
    <w:rsid w:val="004447B3"/>
    <w:rsid w:val="0044487A"/>
    <w:rsid w:val="00456E10"/>
    <w:rsid w:val="00462010"/>
    <w:rsid w:val="00465784"/>
    <w:rsid w:val="00465A5F"/>
    <w:rsid w:val="004668A0"/>
    <w:rsid w:val="004729EA"/>
    <w:rsid w:val="004743AB"/>
    <w:rsid w:val="0048206E"/>
    <w:rsid w:val="00482676"/>
    <w:rsid w:val="004860E1"/>
    <w:rsid w:val="00491A41"/>
    <w:rsid w:val="00494481"/>
    <w:rsid w:val="00497EF6"/>
    <w:rsid w:val="00497F7D"/>
    <w:rsid w:val="004A67C6"/>
    <w:rsid w:val="004B3733"/>
    <w:rsid w:val="004B377D"/>
    <w:rsid w:val="004C495A"/>
    <w:rsid w:val="004C6C96"/>
    <w:rsid w:val="004D0D6A"/>
    <w:rsid w:val="004D17DA"/>
    <w:rsid w:val="004D2F50"/>
    <w:rsid w:val="004D5843"/>
    <w:rsid w:val="004E0D60"/>
    <w:rsid w:val="004E0F72"/>
    <w:rsid w:val="004E3900"/>
    <w:rsid w:val="004E76D4"/>
    <w:rsid w:val="004F474C"/>
    <w:rsid w:val="004F514F"/>
    <w:rsid w:val="0051375E"/>
    <w:rsid w:val="00513809"/>
    <w:rsid w:val="00515BB6"/>
    <w:rsid w:val="005160EC"/>
    <w:rsid w:val="00517267"/>
    <w:rsid w:val="005213A3"/>
    <w:rsid w:val="00522792"/>
    <w:rsid w:val="0052496E"/>
    <w:rsid w:val="00530DD4"/>
    <w:rsid w:val="005319D8"/>
    <w:rsid w:val="005351AB"/>
    <w:rsid w:val="00536775"/>
    <w:rsid w:val="005425F0"/>
    <w:rsid w:val="0054609C"/>
    <w:rsid w:val="0054638A"/>
    <w:rsid w:val="0054663B"/>
    <w:rsid w:val="00553109"/>
    <w:rsid w:val="005538D6"/>
    <w:rsid w:val="005574CC"/>
    <w:rsid w:val="005609D5"/>
    <w:rsid w:val="00564194"/>
    <w:rsid w:val="0057314B"/>
    <w:rsid w:val="00574DE2"/>
    <w:rsid w:val="00580DBD"/>
    <w:rsid w:val="00581F08"/>
    <w:rsid w:val="00582AEB"/>
    <w:rsid w:val="00584627"/>
    <w:rsid w:val="005851F0"/>
    <w:rsid w:val="00586BD8"/>
    <w:rsid w:val="005A00FD"/>
    <w:rsid w:val="005A0D21"/>
    <w:rsid w:val="005A6CB6"/>
    <w:rsid w:val="005B2C80"/>
    <w:rsid w:val="005B313C"/>
    <w:rsid w:val="005B6B61"/>
    <w:rsid w:val="005C1475"/>
    <w:rsid w:val="005C25F7"/>
    <w:rsid w:val="005C3E76"/>
    <w:rsid w:val="005C50C5"/>
    <w:rsid w:val="005C5300"/>
    <w:rsid w:val="005C6890"/>
    <w:rsid w:val="005D0175"/>
    <w:rsid w:val="005D3E67"/>
    <w:rsid w:val="005E34E6"/>
    <w:rsid w:val="005E364A"/>
    <w:rsid w:val="005E6FAF"/>
    <w:rsid w:val="005E7286"/>
    <w:rsid w:val="005F7DAB"/>
    <w:rsid w:val="0060121C"/>
    <w:rsid w:val="00602360"/>
    <w:rsid w:val="00602738"/>
    <w:rsid w:val="00615201"/>
    <w:rsid w:val="0061600C"/>
    <w:rsid w:val="00626532"/>
    <w:rsid w:val="00626C0A"/>
    <w:rsid w:val="0063383A"/>
    <w:rsid w:val="00635DCE"/>
    <w:rsid w:val="006442B7"/>
    <w:rsid w:val="00646A10"/>
    <w:rsid w:val="0064759F"/>
    <w:rsid w:val="00652B28"/>
    <w:rsid w:val="006578C2"/>
    <w:rsid w:val="00662ADC"/>
    <w:rsid w:val="00663F28"/>
    <w:rsid w:val="0067454E"/>
    <w:rsid w:val="00680DAB"/>
    <w:rsid w:val="00683B14"/>
    <w:rsid w:val="00685D07"/>
    <w:rsid w:val="006A51D5"/>
    <w:rsid w:val="006A5842"/>
    <w:rsid w:val="006A58CB"/>
    <w:rsid w:val="006B2935"/>
    <w:rsid w:val="006B3F7C"/>
    <w:rsid w:val="006B43D2"/>
    <w:rsid w:val="006B43E3"/>
    <w:rsid w:val="006C2492"/>
    <w:rsid w:val="006C4F0F"/>
    <w:rsid w:val="006C5841"/>
    <w:rsid w:val="006D29B0"/>
    <w:rsid w:val="006D470F"/>
    <w:rsid w:val="006D4812"/>
    <w:rsid w:val="006D4857"/>
    <w:rsid w:val="006D4F61"/>
    <w:rsid w:val="006D534C"/>
    <w:rsid w:val="006E28E2"/>
    <w:rsid w:val="006E36A5"/>
    <w:rsid w:val="006F268C"/>
    <w:rsid w:val="006F4E54"/>
    <w:rsid w:val="007012AF"/>
    <w:rsid w:val="00702E01"/>
    <w:rsid w:val="007032C3"/>
    <w:rsid w:val="0071019B"/>
    <w:rsid w:val="0071070E"/>
    <w:rsid w:val="0072084E"/>
    <w:rsid w:val="00722FB3"/>
    <w:rsid w:val="00723E02"/>
    <w:rsid w:val="007254B2"/>
    <w:rsid w:val="00727C4A"/>
    <w:rsid w:val="00737260"/>
    <w:rsid w:val="00740F77"/>
    <w:rsid w:val="00743D09"/>
    <w:rsid w:val="007444DB"/>
    <w:rsid w:val="007655E7"/>
    <w:rsid w:val="00771F14"/>
    <w:rsid w:val="00772024"/>
    <w:rsid w:val="00775A52"/>
    <w:rsid w:val="00785374"/>
    <w:rsid w:val="00790EE7"/>
    <w:rsid w:val="0079312D"/>
    <w:rsid w:val="00794CE8"/>
    <w:rsid w:val="007A64BA"/>
    <w:rsid w:val="007B0681"/>
    <w:rsid w:val="007B4350"/>
    <w:rsid w:val="007B6FFB"/>
    <w:rsid w:val="007C0AA6"/>
    <w:rsid w:val="007C598A"/>
    <w:rsid w:val="007D0188"/>
    <w:rsid w:val="007D40ED"/>
    <w:rsid w:val="007D7726"/>
    <w:rsid w:val="007E29D4"/>
    <w:rsid w:val="007F419D"/>
    <w:rsid w:val="00801AC2"/>
    <w:rsid w:val="008031E4"/>
    <w:rsid w:val="008035C5"/>
    <w:rsid w:val="00805354"/>
    <w:rsid w:val="00805AF5"/>
    <w:rsid w:val="00814ACF"/>
    <w:rsid w:val="00820F63"/>
    <w:rsid w:val="008328AF"/>
    <w:rsid w:val="008407A0"/>
    <w:rsid w:val="00845FE7"/>
    <w:rsid w:val="00860062"/>
    <w:rsid w:val="0086640C"/>
    <w:rsid w:val="008760D9"/>
    <w:rsid w:val="0087639E"/>
    <w:rsid w:val="00877B33"/>
    <w:rsid w:val="008A1B24"/>
    <w:rsid w:val="008A1F21"/>
    <w:rsid w:val="008A4544"/>
    <w:rsid w:val="008A7762"/>
    <w:rsid w:val="008B03F6"/>
    <w:rsid w:val="008B135E"/>
    <w:rsid w:val="008B254B"/>
    <w:rsid w:val="008B521A"/>
    <w:rsid w:val="008C608D"/>
    <w:rsid w:val="008C7E21"/>
    <w:rsid w:val="008D34E6"/>
    <w:rsid w:val="008D4183"/>
    <w:rsid w:val="008D7D7C"/>
    <w:rsid w:val="008E189B"/>
    <w:rsid w:val="008E488A"/>
    <w:rsid w:val="009007A3"/>
    <w:rsid w:val="0090351A"/>
    <w:rsid w:val="00911CA4"/>
    <w:rsid w:val="00913755"/>
    <w:rsid w:val="00915CA0"/>
    <w:rsid w:val="00921B7A"/>
    <w:rsid w:val="00926F1C"/>
    <w:rsid w:val="00944663"/>
    <w:rsid w:val="00945B80"/>
    <w:rsid w:val="009460FD"/>
    <w:rsid w:val="00952922"/>
    <w:rsid w:val="00954188"/>
    <w:rsid w:val="00956165"/>
    <w:rsid w:val="009570FC"/>
    <w:rsid w:val="009611B5"/>
    <w:rsid w:val="009618E5"/>
    <w:rsid w:val="00963786"/>
    <w:rsid w:val="00964279"/>
    <w:rsid w:val="00974118"/>
    <w:rsid w:val="00977CA2"/>
    <w:rsid w:val="00986309"/>
    <w:rsid w:val="00990075"/>
    <w:rsid w:val="00991788"/>
    <w:rsid w:val="00991D9F"/>
    <w:rsid w:val="00997126"/>
    <w:rsid w:val="009974E6"/>
    <w:rsid w:val="009A5B05"/>
    <w:rsid w:val="009B1F6C"/>
    <w:rsid w:val="009B4F74"/>
    <w:rsid w:val="009B67C3"/>
    <w:rsid w:val="009C2696"/>
    <w:rsid w:val="009C3501"/>
    <w:rsid w:val="009D1278"/>
    <w:rsid w:val="009D7030"/>
    <w:rsid w:val="009D7F2F"/>
    <w:rsid w:val="009F60A0"/>
    <w:rsid w:val="00A0179F"/>
    <w:rsid w:val="00A01D86"/>
    <w:rsid w:val="00A045EF"/>
    <w:rsid w:val="00A11421"/>
    <w:rsid w:val="00A242CB"/>
    <w:rsid w:val="00A3435B"/>
    <w:rsid w:val="00A35B62"/>
    <w:rsid w:val="00A40AE7"/>
    <w:rsid w:val="00A46F57"/>
    <w:rsid w:val="00A5269D"/>
    <w:rsid w:val="00A572CF"/>
    <w:rsid w:val="00A62B14"/>
    <w:rsid w:val="00A64395"/>
    <w:rsid w:val="00A6760D"/>
    <w:rsid w:val="00A70127"/>
    <w:rsid w:val="00A82A20"/>
    <w:rsid w:val="00A8527F"/>
    <w:rsid w:val="00A87442"/>
    <w:rsid w:val="00A90586"/>
    <w:rsid w:val="00A90610"/>
    <w:rsid w:val="00A90798"/>
    <w:rsid w:val="00A9100A"/>
    <w:rsid w:val="00A975CF"/>
    <w:rsid w:val="00AA6249"/>
    <w:rsid w:val="00AB65FE"/>
    <w:rsid w:val="00AC0470"/>
    <w:rsid w:val="00AC0F8E"/>
    <w:rsid w:val="00AC2455"/>
    <w:rsid w:val="00AC3D15"/>
    <w:rsid w:val="00AD09AE"/>
    <w:rsid w:val="00AE182E"/>
    <w:rsid w:val="00AE3D97"/>
    <w:rsid w:val="00AE51C1"/>
    <w:rsid w:val="00AE6A50"/>
    <w:rsid w:val="00AF0658"/>
    <w:rsid w:val="00AF1B81"/>
    <w:rsid w:val="00AF56FF"/>
    <w:rsid w:val="00B01977"/>
    <w:rsid w:val="00B12784"/>
    <w:rsid w:val="00B132E5"/>
    <w:rsid w:val="00B14F15"/>
    <w:rsid w:val="00B1613C"/>
    <w:rsid w:val="00B27347"/>
    <w:rsid w:val="00B3414C"/>
    <w:rsid w:val="00B341E8"/>
    <w:rsid w:val="00B37130"/>
    <w:rsid w:val="00B40EDC"/>
    <w:rsid w:val="00B422D0"/>
    <w:rsid w:val="00B46044"/>
    <w:rsid w:val="00B50537"/>
    <w:rsid w:val="00B511EB"/>
    <w:rsid w:val="00B52493"/>
    <w:rsid w:val="00B62058"/>
    <w:rsid w:val="00B6772D"/>
    <w:rsid w:val="00B7051F"/>
    <w:rsid w:val="00B72BF7"/>
    <w:rsid w:val="00B73F09"/>
    <w:rsid w:val="00B8139D"/>
    <w:rsid w:val="00B8258D"/>
    <w:rsid w:val="00BA5616"/>
    <w:rsid w:val="00BA7759"/>
    <w:rsid w:val="00BC0D77"/>
    <w:rsid w:val="00BC1BBA"/>
    <w:rsid w:val="00BC2490"/>
    <w:rsid w:val="00BC2670"/>
    <w:rsid w:val="00BC322E"/>
    <w:rsid w:val="00BC3A1E"/>
    <w:rsid w:val="00BC6681"/>
    <w:rsid w:val="00BD144A"/>
    <w:rsid w:val="00BD389C"/>
    <w:rsid w:val="00BE1539"/>
    <w:rsid w:val="00BE29A2"/>
    <w:rsid w:val="00BE2B1A"/>
    <w:rsid w:val="00BE36FD"/>
    <w:rsid w:val="00BE76E1"/>
    <w:rsid w:val="00BF1972"/>
    <w:rsid w:val="00BF2915"/>
    <w:rsid w:val="00BF3DC5"/>
    <w:rsid w:val="00BF4D82"/>
    <w:rsid w:val="00C22917"/>
    <w:rsid w:val="00C230EA"/>
    <w:rsid w:val="00C247D6"/>
    <w:rsid w:val="00C278AF"/>
    <w:rsid w:val="00C3066B"/>
    <w:rsid w:val="00C30E86"/>
    <w:rsid w:val="00C411BC"/>
    <w:rsid w:val="00C435DA"/>
    <w:rsid w:val="00C50611"/>
    <w:rsid w:val="00C522A4"/>
    <w:rsid w:val="00C536A4"/>
    <w:rsid w:val="00C545DB"/>
    <w:rsid w:val="00C606D1"/>
    <w:rsid w:val="00C626F1"/>
    <w:rsid w:val="00C6394D"/>
    <w:rsid w:val="00C664FE"/>
    <w:rsid w:val="00C67A35"/>
    <w:rsid w:val="00C710A2"/>
    <w:rsid w:val="00C72D5A"/>
    <w:rsid w:val="00C73A1C"/>
    <w:rsid w:val="00C912D4"/>
    <w:rsid w:val="00C95171"/>
    <w:rsid w:val="00C95683"/>
    <w:rsid w:val="00CA0E5B"/>
    <w:rsid w:val="00CA323C"/>
    <w:rsid w:val="00CA4253"/>
    <w:rsid w:val="00CB23A1"/>
    <w:rsid w:val="00CB3DD8"/>
    <w:rsid w:val="00CC1052"/>
    <w:rsid w:val="00CC1350"/>
    <w:rsid w:val="00CC37DE"/>
    <w:rsid w:val="00CC560D"/>
    <w:rsid w:val="00CC7893"/>
    <w:rsid w:val="00CD2B65"/>
    <w:rsid w:val="00CE1E93"/>
    <w:rsid w:val="00CE5C55"/>
    <w:rsid w:val="00CF15E8"/>
    <w:rsid w:val="00CF35C4"/>
    <w:rsid w:val="00CF5118"/>
    <w:rsid w:val="00D03EE6"/>
    <w:rsid w:val="00D061C7"/>
    <w:rsid w:val="00D12328"/>
    <w:rsid w:val="00D138EC"/>
    <w:rsid w:val="00D14FA5"/>
    <w:rsid w:val="00D21E9D"/>
    <w:rsid w:val="00D2496C"/>
    <w:rsid w:val="00D254ED"/>
    <w:rsid w:val="00D336E1"/>
    <w:rsid w:val="00D35227"/>
    <w:rsid w:val="00D37E58"/>
    <w:rsid w:val="00D4250D"/>
    <w:rsid w:val="00D47180"/>
    <w:rsid w:val="00D50436"/>
    <w:rsid w:val="00D50D57"/>
    <w:rsid w:val="00D513C7"/>
    <w:rsid w:val="00D55650"/>
    <w:rsid w:val="00D64FB9"/>
    <w:rsid w:val="00D66BD5"/>
    <w:rsid w:val="00D751A2"/>
    <w:rsid w:val="00D762E6"/>
    <w:rsid w:val="00D81076"/>
    <w:rsid w:val="00D81FEE"/>
    <w:rsid w:val="00D85FEB"/>
    <w:rsid w:val="00D87B3F"/>
    <w:rsid w:val="00D916C9"/>
    <w:rsid w:val="00DA2682"/>
    <w:rsid w:val="00DA3233"/>
    <w:rsid w:val="00DA4240"/>
    <w:rsid w:val="00DB41C2"/>
    <w:rsid w:val="00DB4F42"/>
    <w:rsid w:val="00DC23F1"/>
    <w:rsid w:val="00DE0617"/>
    <w:rsid w:val="00DE4EC9"/>
    <w:rsid w:val="00DF00B4"/>
    <w:rsid w:val="00DF3314"/>
    <w:rsid w:val="00E01D1D"/>
    <w:rsid w:val="00E0507F"/>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E1C"/>
    <w:rsid w:val="00E67684"/>
    <w:rsid w:val="00E736C6"/>
    <w:rsid w:val="00E77B49"/>
    <w:rsid w:val="00E808FD"/>
    <w:rsid w:val="00E87A8E"/>
    <w:rsid w:val="00EA4344"/>
    <w:rsid w:val="00EB1ACB"/>
    <w:rsid w:val="00EB204E"/>
    <w:rsid w:val="00EB302F"/>
    <w:rsid w:val="00EB5333"/>
    <w:rsid w:val="00EE1401"/>
    <w:rsid w:val="00EE257B"/>
    <w:rsid w:val="00EF095D"/>
    <w:rsid w:val="00EF2248"/>
    <w:rsid w:val="00EF5085"/>
    <w:rsid w:val="00EF64B0"/>
    <w:rsid w:val="00F0221C"/>
    <w:rsid w:val="00F10881"/>
    <w:rsid w:val="00F1312E"/>
    <w:rsid w:val="00F1334A"/>
    <w:rsid w:val="00F16CBE"/>
    <w:rsid w:val="00F21631"/>
    <w:rsid w:val="00F22F2B"/>
    <w:rsid w:val="00F24CED"/>
    <w:rsid w:val="00F274CC"/>
    <w:rsid w:val="00F279D6"/>
    <w:rsid w:val="00F34171"/>
    <w:rsid w:val="00F40824"/>
    <w:rsid w:val="00F42C39"/>
    <w:rsid w:val="00F575D5"/>
    <w:rsid w:val="00F60F0E"/>
    <w:rsid w:val="00F65C43"/>
    <w:rsid w:val="00F65E82"/>
    <w:rsid w:val="00F72BD7"/>
    <w:rsid w:val="00F73292"/>
    <w:rsid w:val="00F75663"/>
    <w:rsid w:val="00F863FC"/>
    <w:rsid w:val="00F9230E"/>
    <w:rsid w:val="00F930BC"/>
    <w:rsid w:val="00F95A61"/>
    <w:rsid w:val="00FA1E44"/>
    <w:rsid w:val="00FB20E1"/>
    <w:rsid w:val="00FB59D0"/>
    <w:rsid w:val="00FC25E3"/>
    <w:rsid w:val="00FC4493"/>
    <w:rsid w:val="00FD1E2B"/>
    <w:rsid w:val="00FD64D1"/>
    <w:rsid w:val="00FE1B2D"/>
    <w:rsid w:val="00FE4940"/>
    <w:rsid w:val="00FE4CD8"/>
    <w:rsid w:val="00FE7D5E"/>
    <w:rsid w:val="00FF2E94"/>
    <w:rsid w:val="00FF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DD529E-BA2A-4285-BBAF-3B269EAF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A02"/>
    <w:rPr>
      <w:rFonts w:ascii="Verdana" w:hAnsi="Verdana"/>
      <w:lang w:eastAsia="en-US"/>
    </w:rPr>
  </w:style>
  <w:style w:type="paragraph" w:styleId="Heading1">
    <w:name w:val="heading 1"/>
    <w:basedOn w:val="Normal"/>
    <w:next w:val="Normal"/>
    <w:qFormat/>
    <w:rsid w:val="00190066"/>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qFormat/>
    <w:rsid w:val="00190066"/>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qFormat/>
    <w:rsid w:val="00190066"/>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qFormat/>
    <w:rsid w:val="00190066"/>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qFormat/>
    <w:rsid w:val="00190066"/>
    <w:pPr>
      <w:numPr>
        <w:ilvl w:val="4"/>
        <w:numId w:val="6"/>
      </w:numPr>
      <w:tabs>
        <w:tab w:val="clear" w:pos="56"/>
        <w:tab w:val="num" w:pos="1080"/>
      </w:tabs>
      <w:ind w:left="851" w:hanging="851"/>
      <w:outlineLvl w:val="4"/>
    </w:pPr>
    <w:rPr>
      <w:bCs w:val="0"/>
      <w:iCs/>
      <w:szCs w:val="26"/>
    </w:rPr>
  </w:style>
  <w:style w:type="paragraph" w:styleId="Heading6">
    <w:name w:val="heading 6"/>
    <w:basedOn w:val="Normal"/>
    <w:qFormat/>
    <w:rsid w:val="00190066"/>
    <w:pPr>
      <w:numPr>
        <w:ilvl w:val="5"/>
        <w:numId w:val="1"/>
      </w:numPr>
      <w:outlineLvl w:val="5"/>
    </w:pPr>
    <w:rPr>
      <w:bCs/>
      <w:szCs w:val="22"/>
    </w:rPr>
  </w:style>
  <w:style w:type="paragraph" w:styleId="Heading7">
    <w:name w:val="heading 7"/>
    <w:basedOn w:val="Normal"/>
    <w:next w:val="Normal"/>
    <w:qFormat/>
    <w:rsid w:val="00190066"/>
    <w:pPr>
      <w:numPr>
        <w:ilvl w:val="6"/>
        <w:numId w:val="1"/>
      </w:numPr>
      <w:spacing w:before="240"/>
      <w:outlineLvl w:val="6"/>
    </w:pPr>
    <w:rPr>
      <w:szCs w:val="24"/>
    </w:rPr>
  </w:style>
  <w:style w:type="paragraph" w:styleId="Heading8">
    <w:name w:val="heading 8"/>
    <w:basedOn w:val="Normal"/>
    <w:next w:val="Normal"/>
    <w:qFormat/>
    <w:rsid w:val="00190066"/>
    <w:pPr>
      <w:numPr>
        <w:ilvl w:val="7"/>
        <w:numId w:val="1"/>
      </w:numPr>
      <w:spacing w:before="240"/>
      <w:outlineLvl w:val="7"/>
    </w:pPr>
    <w:rPr>
      <w:iCs/>
      <w:szCs w:val="24"/>
    </w:rPr>
  </w:style>
  <w:style w:type="paragraph" w:styleId="Heading9">
    <w:name w:val="heading 9"/>
    <w:basedOn w:val="Normal"/>
    <w:next w:val="Normal"/>
    <w:qFormat/>
    <w:rsid w:val="00190066"/>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863FC"/>
    <w:pPr>
      <w:tabs>
        <w:tab w:val="center" w:pos="4536"/>
        <w:tab w:val="right" w:pos="9072"/>
      </w:tabs>
      <w:spacing w:line="360" w:lineRule="auto"/>
      <w:jc w:val="both"/>
    </w:pPr>
  </w:style>
  <w:style w:type="paragraph" w:styleId="Header">
    <w:name w:val="header"/>
    <w:basedOn w:val="Normal"/>
    <w:semiHidden/>
    <w:rsid w:val="00F863FC"/>
    <w:pPr>
      <w:tabs>
        <w:tab w:val="center" w:pos="4819"/>
        <w:tab w:val="right" w:pos="9071"/>
      </w:tabs>
      <w:spacing w:line="360" w:lineRule="auto"/>
      <w:jc w:val="both"/>
    </w:pPr>
  </w:style>
  <w:style w:type="paragraph" w:styleId="DocumentMap">
    <w:name w:val="Document Map"/>
    <w:basedOn w:val="Normal"/>
    <w:semiHidden/>
    <w:rsid w:val="00190066"/>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F22F2B"/>
    <w:pPr>
      <w:keepNext/>
      <w:numPr>
        <w:numId w:val="23"/>
      </w:numPr>
      <w:suppressAutoHyphens/>
      <w:spacing w:before="120" w:after="60" w:line="280" w:lineRule="atLeast"/>
      <w:jc w:val="both"/>
      <w:outlineLvl w:val="0"/>
    </w:pPr>
    <w:rPr>
      <w:rFonts w:ascii="Verdana" w:hAnsi="Verdana"/>
      <w:b/>
      <w:lang w:val="en-GB" w:eastAsia="en-US"/>
    </w:rPr>
  </w:style>
  <w:style w:type="paragraph" w:customStyle="1" w:styleId="Sheading2">
    <w:name w:val="S_heading 2"/>
    <w:next w:val="Stext2"/>
    <w:qFormat/>
    <w:rsid w:val="00F22F2B"/>
    <w:pPr>
      <w:keepNext/>
      <w:numPr>
        <w:ilvl w:val="1"/>
        <w:numId w:val="23"/>
      </w:numPr>
      <w:suppressAutoHyphens/>
      <w:spacing w:before="120" w:after="60" w:line="280" w:lineRule="atLeast"/>
      <w:jc w:val="both"/>
      <w:outlineLvl w:val="1"/>
    </w:pPr>
    <w:rPr>
      <w:rFonts w:ascii="Verdana" w:hAnsi="Verdana"/>
      <w:lang w:val="en-GB" w:eastAsia="en-US"/>
    </w:rPr>
  </w:style>
  <w:style w:type="paragraph" w:customStyle="1" w:styleId="Sheading3">
    <w:name w:val="S_heading 3"/>
    <w:next w:val="Stext3"/>
    <w:qFormat/>
    <w:rsid w:val="00F22F2B"/>
    <w:pPr>
      <w:keepNext/>
      <w:numPr>
        <w:ilvl w:val="2"/>
        <w:numId w:val="23"/>
      </w:numPr>
      <w:suppressAutoHyphens/>
      <w:spacing w:before="120" w:after="60" w:line="280" w:lineRule="atLeast"/>
      <w:jc w:val="both"/>
      <w:outlineLvl w:val="2"/>
    </w:pPr>
    <w:rPr>
      <w:rFonts w:ascii="Verdana" w:hAnsi="Verdana"/>
      <w:lang w:val="en-GB" w:eastAsia="en-US"/>
    </w:rPr>
  </w:style>
  <w:style w:type="paragraph" w:styleId="TOC1">
    <w:name w:val="toc 1"/>
    <w:basedOn w:val="Normal"/>
    <w:next w:val="Normal"/>
    <w:autoRedefine/>
    <w:semiHidden/>
    <w:rsid w:val="00190066"/>
    <w:pPr>
      <w:tabs>
        <w:tab w:val="left" w:pos="440"/>
        <w:tab w:val="right" w:leader="dot" w:pos="9060"/>
      </w:tabs>
    </w:pPr>
    <w:rPr>
      <w:b/>
      <w:caps/>
      <w:noProof/>
      <w:szCs w:val="22"/>
    </w:rPr>
  </w:style>
  <w:style w:type="paragraph" w:styleId="TOC2">
    <w:name w:val="toc 2"/>
    <w:basedOn w:val="Normal"/>
    <w:next w:val="Normal"/>
    <w:autoRedefine/>
    <w:semiHidden/>
    <w:rsid w:val="00190066"/>
    <w:pPr>
      <w:tabs>
        <w:tab w:val="left" w:pos="990"/>
        <w:tab w:val="right" w:leader="dot" w:pos="9060"/>
      </w:tabs>
      <w:ind w:left="440"/>
    </w:pPr>
    <w:rPr>
      <w:b/>
      <w:noProof/>
    </w:rPr>
  </w:style>
  <w:style w:type="paragraph" w:styleId="TOC3">
    <w:name w:val="toc 3"/>
    <w:basedOn w:val="Normal"/>
    <w:next w:val="Normal"/>
    <w:autoRedefine/>
    <w:semiHidden/>
    <w:rsid w:val="00190066"/>
    <w:pPr>
      <w:tabs>
        <w:tab w:val="right" w:leader="dot" w:pos="9060"/>
      </w:tabs>
      <w:ind w:left="1650" w:hanging="660"/>
    </w:pPr>
    <w:rPr>
      <w:noProof/>
      <w:szCs w:val="22"/>
    </w:rPr>
  </w:style>
  <w:style w:type="paragraph" w:styleId="TOC4">
    <w:name w:val="toc 4"/>
    <w:basedOn w:val="Normal"/>
    <w:next w:val="Normal"/>
    <w:autoRedefine/>
    <w:semiHidden/>
    <w:rsid w:val="00190066"/>
    <w:pPr>
      <w:tabs>
        <w:tab w:val="left" w:pos="2618"/>
        <w:tab w:val="right" w:leader="dot" w:pos="9060"/>
      </w:tabs>
      <w:ind w:left="2534" w:hanging="884"/>
    </w:pPr>
    <w:rPr>
      <w:i/>
      <w:noProof/>
      <w:szCs w:val="22"/>
    </w:rPr>
  </w:style>
  <w:style w:type="paragraph" w:styleId="TOC5">
    <w:name w:val="toc 5"/>
    <w:basedOn w:val="Normal"/>
    <w:next w:val="Normal"/>
    <w:autoRedefine/>
    <w:semiHidden/>
    <w:rsid w:val="00190066"/>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F22F2B"/>
    <w:pPr>
      <w:numPr>
        <w:ilvl w:val="3"/>
        <w:numId w:val="23"/>
      </w:numPr>
      <w:spacing w:before="120" w:after="60" w:line="280" w:lineRule="atLeast"/>
      <w:jc w:val="both"/>
      <w:outlineLvl w:val="3"/>
    </w:pPr>
    <w:rPr>
      <w:rFonts w:ascii="Verdana" w:hAnsi="Verdana"/>
      <w:lang w:val="en-GB" w:eastAsia="en-US"/>
    </w:rPr>
  </w:style>
  <w:style w:type="paragraph" w:customStyle="1" w:styleId="Sheading5">
    <w:name w:val="S_heading 5"/>
    <w:next w:val="Stext5"/>
    <w:qFormat/>
    <w:rsid w:val="00F22F2B"/>
    <w:pPr>
      <w:numPr>
        <w:ilvl w:val="4"/>
        <w:numId w:val="23"/>
      </w:numPr>
      <w:suppressAutoHyphens/>
      <w:spacing w:before="120" w:after="60" w:line="280" w:lineRule="atLeast"/>
      <w:jc w:val="both"/>
      <w:outlineLvl w:val="4"/>
    </w:pPr>
    <w:rPr>
      <w:rFonts w:ascii="Verdana" w:hAnsi="Verdana"/>
      <w:lang w:val="en-GB" w:eastAsia="en-US"/>
    </w:rPr>
  </w:style>
  <w:style w:type="paragraph" w:customStyle="1" w:styleId="SSchedule1">
    <w:name w:val="S_Schedule 1"/>
    <w:next w:val="Stext1"/>
    <w:rsid w:val="00F22F2B"/>
    <w:pPr>
      <w:numPr>
        <w:numId w:val="24"/>
      </w:numPr>
      <w:suppressAutoHyphens/>
      <w:spacing w:before="120" w:after="60" w:line="280" w:lineRule="atLeast"/>
      <w:jc w:val="both"/>
    </w:pPr>
    <w:rPr>
      <w:rFonts w:ascii="Verdana" w:hAnsi="Verdana"/>
      <w:b/>
      <w:lang w:val="en-GB" w:eastAsia="en-US"/>
    </w:rPr>
  </w:style>
  <w:style w:type="paragraph" w:customStyle="1" w:styleId="SSchedule2">
    <w:name w:val="S_Schedule 2"/>
    <w:next w:val="Stext2"/>
    <w:rsid w:val="00F22F2B"/>
    <w:pPr>
      <w:numPr>
        <w:ilvl w:val="1"/>
        <w:numId w:val="24"/>
      </w:numPr>
      <w:suppressAutoHyphens/>
      <w:spacing w:before="120" w:after="60" w:line="280" w:lineRule="atLeast"/>
      <w:jc w:val="both"/>
    </w:pPr>
    <w:rPr>
      <w:rFonts w:ascii="Verdana" w:hAnsi="Verdana"/>
      <w:lang w:val="en-GB" w:eastAsia="en-US"/>
    </w:rPr>
  </w:style>
  <w:style w:type="paragraph" w:customStyle="1" w:styleId="SSchedule3">
    <w:name w:val="S_Schedule 3"/>
    <w:next w:val="Stext3"/>
    <w:rsid w:val="00F22F2B"/>
    <w:pPr>
      <w:numPr>
        <w:ilvl w:val="2"/>
        <w:numId w:val="24"/>
      </w:numPr>
      <w:suppressAutoHyphens/>
      <w:spacing w:before="120" w:after="60" w:line="280" w:lineRule="atLeast"/>
      <w:jc w:val="both"/>
    </w:pPr>
    <w:rPr>
      <w:rFonts w:ascii="Verdana" w:hAnsi="Verdana"/>
      <w:lang w:val="en-GB" w:eastAsia="en-US"/>
    </w:rPr>
  </w:style>
  <w:style w:type="paragraph" w:customStyle="1" w:styleId="SSchedule4">
    <w:name w:val="S_Schedule 4"/>
    <w:next w:val="Stext4"/>
    <w:rsid w:val="00F22F2B"/>
    <w:pPr>
      <w:numPr>
        <w:ilvl w:val="3"/>
        <w:numId w:val="24"/>
      </w:numPr>
      <w:suppressAutoHyphens/>
      <w:spacing w:before="120" w:after="60" w:line="280" w:lineRule="atLeast"/>
      <w:jc w:val="both"/>
    </w:pPr>
    <w:rPr>
      <w:rFonts w:ascii="Verdana" w:hAnsi="Verdana"/>
      <w:lang w:val="en-GB" w:eastAsia="en-US"/>
    </w:rPr>
  </w:style>
  <w:style w:type="paragraph" w:customStyle="1" w:styleId="SSchedule5">
    <w:name w:val="S_Schedule 5"/>
    <w:next w:val="Stext5"/>
    <w:rsid w:val="00F22F2B"/>
    <w:pPr>
      <w:numPr>
        <w:ilvl w:val="4"/>
        <w:numId w:val="24"/>
      </w:numPr>
      <w:suppressAutoHyphens/>
      <w:spacing w:before="120" w:after="60" w:line="280" w:lineRule="atLeast"/>
    </w:pPr>
    <w:rPr>
      <w:rFonts w:ascii="Verdana" w:hAnsi="Verdana"/>
      <w:lang w:eastAsia="en-US"/>
    </w:rPr>
  </w:style>
  <w:style w:type="paragraph" w:customStyle="1" w:styleId="Slistinga0">
    <w:name w:val="S_listing a"/>
    <w:basedOn w:val="Normal"/>
    <w:rsid w:val="00F22F2B"/>
    <w:pPr>
      <w:numPr>
        <w:numId w:val="7"/>
      </w:numPr>
      <w:tabs>
        <w:tab w:val="clear" w:pos="1720"/>
        <w:tab w:val="left" w:pos="1191"/>
      </w:tabs>
      <w:suppressAutoHyphens/>
      <w:spacing w:before="40" w:after="20" w:line="280" w:lineRule="atLeast"/>
      <w:ind w:left="1190" w:hanging="510"/>
      <w:jc w:val="both"/>
    </w:pPr>
    <w:rPr>
      <w:lang w:val="en-GB"/>
    </w:rPr>
  </w:style>
  <w:style w:type="paragraph" w:customStyle="1" w:styleId="Slistingb">
    <w:name w:val="S_listing b"/>
    <w:basedOn w:val="Normal"/>
    <w:rsid w:val="00F22F2B"/>
    <w:pPr>
      <w:numPr>
        <w:numId w:val="8"/>
      </w:numPr>
      <w:tabs>
        <w:tab w:val="clear" w:pos="1758"/>
        <w:tab w:val="left" w:pos="1701"/>
      </w:tabs>
      <w:suppressAutoHyphens/>
      <w:spacing w:before="40" w:after="20" w:line="280" w:lineRule="atLeast"/>
      <w:jc w:val="both"/>
    </w:pPr>
    <w:rPr>
      <w:lang w:val="en-GB"/>
    </w:rPr>
  </w:style>
  <w:style w:type="paragraph" w:customStyle="1" w:styleId="Stext">
    <w:name w:val="S_text"/>
    <w:qFormat/>
    <w:rsid w:val="00F22F2B"/>
    <w:pPr>
      <w:suppressAutoHyphens/>
      <w:spacing w:before="120" w:after="60" w:line="280" w:lineRule="atLeast"/>
      <w:jc w:val="both"/>
    </w:pPr>
    <w:rPr>
      <w:rFonts w:ascii="Verdana" w:hAnsi="Verdana"/>
      <w:lang w:val="en-GB" w:eastAsia="zh-TW"/>
    </w:rPr>
  </w:style>
  <w:style w:type="paragraph" w:customStyle="1" w:styleId="Stext1">
    <w:name w:val="S_text 1"/>
    <w:basedOn w:val="Stext"/>
    <w:qFormat/>
    <w:rsid w:val="00F22F2B"/>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rsid w:val="00F22F2B"/>
    <w:pPr>
      <w:numPr>
        <w:ilvl w:val="5"/>
        <w:numId w:val="22"/>
      </w:numPr>
      <w:ind w:left="1190" w:hanging="510"/>
    </w:pPr>
  </w:style>
  <w:style w:type="paragraph" w:customStyle="1" w:styleId="Slistingi">
    <w:name w:val="S_listing (i)"/>
    <w:basedOn w:val="Normal"/>
    <w:rsid w:val="00F22F2B"/>
    <w:pPr>
      <w:numPr>
        <w:ilvl w:val="6"/>
        <w:numId w:val="22"/>
      </w:numPr>
      <w:suppressAutoHyphens/>
      <w:spacing w:before="40" w:after="20" w:line="280" w:lineRule="atLeast"/>
      <w:jc w:val="both"/>
    </w:pPr>
    <w:rPr>
      <w:lang w:val="en-GB"/>
    </w:r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styleId="FootnoteText">
    <w:name w:val="footnote text"/>
    <w:aliases w:val="S_footer"/>
    <w:basedOn w:val="Normal"/>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qForma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qForma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qFormat/>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qFormat/>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semiHidden/>
    <w:unhideWhenUsed/>
    <w:rsid w:val="00722FB3"/>
    <w:rPr>
      <w:rFonts w:ascii="Segoe UI" w:hAnsi="Segoe UI" w:cs="Segoe UI"/>
      <w:sz w:val="18"/>
      <w:szCs w:val="18"/>
    </w:rPr>
  </w:style>
  <w:style w:type="character" w:customStyle="1" w:styleId="BalloonTextChar">
    <w:name w:val="Balloon Text Char"/>
    <w:basedOn w:val="DefaultParagraphFont"/>
    <w:link w:val="BalloonText"/>
    <w:semiHidden/>
    <w:rsid w:val="00722FB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fa.gov.rs/en/consular-affairs/legaliz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1975</Words>
  <Characters>11261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Moravcevic Vojnovic i Partneri OAD</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Schoenherr 2</dc:creator>
  <cp:lastModifiedBy>Jovana Mrkovic</cp:lastModifiedBy>
  <cp:revision>2</cp:revision>
  <cp:lastPrinted>2017-10-31T15:04:00Z</cp:lastPrinted>
  <dcterms:created xsi:type="dcterms:W3CDTF">2017-11-02T10:33:00Z</dcterms:created>
  <dcterms:modified xsi:type="dcterms:W3CDTF">2017-11-02T10:33:00Z</dcterms:modified>
</cp:coreProperties>
</file>